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654F" w14:textId="49AB63BE" w:rsidR="00D87E69" w:rsidRPr="00D87E69" w:rsidRDefault="00D87E69" w:rsidP="00D87E69">
      <w:pPr>
        <w:pStyle w:val="Title"/>
        <w:jc w:val="center"/>
        <w:rPr>
          <w:sz w:val="36"/>
          <w:szCs w:val="36"/>
        </w:rPr>
      </w:pPr>
      <w:r w:rsidRPr="00D87E69">
        <w:rPr>
          <w:sz w:val="36"/>
          <w:szCs w:val="36"/>
        </w:rPr>
        <w:t xml:space="preserve">Third Party </w:t>
      </w:r>
      <w:r w:rsidR="004B7F03" w:rsidRPr="00D87E69">
        <w:rPr>
          <w:sz w:val="36"/>
          <w:szCs w:val="36"/>
        </w:rPr>
        <w:t>Facility Use</w:t>
      </w:r>
    </w:p>
    <w:p w14:paraId="6537008D" w14:textId="200B8DC0" w:rsidR="00C94F15" w:rsidRDefault="00D87E69" w:rsidP="00D87E69">
      <w:pPr>
        <w:pStyle w:val="Title"/>
        <w:jc w:val="center"/>
        <w:rPr>
          <w:sz w:val="36"/>
          <w:szCs w:val="36"/>
        </w:rPr>
      </w:pPr>
      <w:r w:rsidRPr="00D87E69">
        <w:rPr>
          <w:sz w:val="36"/>
          <w:szCs w:val="36"/>
        </w:rPr>
        <w:t>Special Events Program Changes</w:t>
      </w:r>
    </w:p>
    <w:p w14:paraId="7649B512" w14:textId="77777777" w:rsidR="00D87E69" w:rsidRPr="00D87E69" w:rsidRDefault="00D87E69" w:rsidP="00D87E69"/>
    <w:p w14:paraId="175417A8" w14:textId="119481AA" w:rsidR="000C54E8" w:rsidRDefault="007C2DDA">
      <w:r>
        <w:t xml:space="preserve">The </w:t>
      </w:r>
      <w:r w:rsidR="009416BD">
        <w:t>Office of Risk Managemen</w:t>
      </w:r>
      <w:r w:rsidR="009416BD" w:rsidRPr="007C692B">
        <w:t>t</w:t>
      </w:r>
      <w:r w:rsidR="001A48D5" w:rsidRPr="007C692B">
        <w:t>,</w:t>
      </w:r>
      <w:r w:rsidR="009416BD">
        <w:t xml:space="preserve"> as the administrator of </w:t>
      </w:r>
      <w:r w:rsidR="0085251E">
        <w:t xml:space="preserve">the </w:t>
      </w:r>
      <w:r w:rsidR="009416BD">
        <w:t xml:space="preserve">property and casualty </w:t>
      </w:r>
      <w:r>
        <w:t>insurance program</w:t>
      </w:r>
      <w:r w:rsidR="001A48D5" w:rsidRPr="007C692B">
        <w:t>,</w:t>
      </w:r>
      <w:r>
        <w:t xml:space="preserve"> is</w:t>
      </w:r>
      <w:r w:rsidR="002F6BEA">
        <w:t xml:space="preserve"> </w:t>
      </w:r>
      <w:r w:rsidR="007F2CE7">
        <w:t>changing the Thi</w:t>
      </w:r>
      <w:r w:rsidR="0077199A">
        <w:t xml:space="preserve">rd Party Facility Use Agreement, specifically </w:t>
      </w:r>
      <w:r w:rsidR="007F2CE7">
        <w:t>the Special Events liability insurance requirements as noted in item 13 (a) and (b)</w:t>
      </w:r>
      <w:r w:rsidR="009416BD">
        <w:t xml:space="preserve"> of the special event facility use agreement</w:t>
      </w:r>
      <w:r w:rsidR="007F2CE7">
        <w:t xml:space="preserve">.  The program is revising the Use Agreement and is dropping the </w:t>
      </w:r>
      <w:r w:rsidR="009B4252" w:rsidRPr="00765522">
        <w:t>previously required</w:t>
      </w:r>
      <w:r w:rsidR="009B4252">
        <w:t xml:space="preserve"> </w:t>
      </w:r>
      <w:r w:rsidR="007F2CE7">
        <w:t>waiver application and fee</w:t>
      </w:r>
      <w:r w:rsidR="00786692">
        <w:t xml:space="preserve"> </w:t>
      </w:r>
      <w:r w:rsidR="00916DC9">
        <w:t xml:space="preserve">for events </w:t>
      </w:r>
      <w:r w:rsidR="00786692">
        <w:t>starting</w:t>
      </w:r>
      <w:r w:rsidR="002F6BEA">
        <w:t xml:space="preserve"> July 1, 2025.</w:t>
      </w:r>
    </w:p>
    <w:p w14:paraId="71C4DA5D" w14:textId="080BBA40" w:rsidR="0091662F" w:rsidRDefault="004E2780">
      <w:r>
        <w:t>For events</w:t>
      </w:r>
      <w:r w:rsidR="0091662F">
        <w:t xml:space="preserve"> that you are scheduling which occur prior to 7/1/2025, the process </w:t>
      </w:r>
      <w:r w:rsidR="009B4252" w:rsidRPr="00765522">
        <w:t>remains</w:t>
      </w:r>
      <w:r w:rsidR="009B4252">
        <w:t xml:space="preserve"> </w:t>
      </w:r>
      <w:r w:rsidR="0091662F">
        <w:t xml:space="preserve">unchanged.  </w:t>
      </w:r>
    </w:p>
    <w:p w14:paraId="41B1BBC3" w14:textId="4B12670F" w:rsidR="0091662F" w:rsidRDefault="0077199A">
      <w:r>
        <w:t xml:space="preserve">For events that occur </w:t>
      </w:r>
      <w:r w:rsidR="0091662F">
        <w:t>7/1/2025</w:t>
      </w:r>
      <w:r>
        <w:t xml:space="preserve"> and after,</w:t>
      </w:r>
      <w:r w:rsidR="0091662F">
        <w:t xml:space="preserve"> be sure to use the NEW Use Agreement for either an Individual or</w:t>
      </w:r>
      <w:r w:rsidR="008967DC">
        <w:t xml:space="preserve"> Organization</w:t>
      </w:r>
      <w:r w:rsidR="0091662F">
        <w:t xml:space="preserve"> </w:t>
      </w:r>
      <w:r w:rsidR="008967DC">
        <w:t>(</w:t>
      </w:r>
      <w:r w:rsidR="0091662F">
        <w:t>Commercial/Non-Profit entity</w:t>
      </w:r>
      <w:r w:rsidR="008967DC">
        <w:t>)</w:t>
      </w:r>
      <w:r w:rsidR="006A6688">
        <w:t xml:space="preserve"> and follow the guidance below.</w:t>
      </w:r>
    </w:p>
    <w:p w14:paraId="3E66528F" w14:textId="63491F8B" w:rsidR="0077199A" w:rsidRDefault="007F2CE7">
      <w:r w:rsidRPr="007F2CE7">
        <w:rPr>
          <w:u w:val="single"/>
        </w:rPr>
        <w:t>Important to note:</w:t>
      </w:r>
      <w:r>
        <w:t xml:space="preserve">  </w:t>
      </w:r>
      <w:r w:rsidR="00916DC9">
        <w:t>Any existing agreements</w:t>
      </w:r>
      <w:r>
        <w:t xml:space="preserve"> for events that have already been submitted and confirmed with Risk </w:t>
      </w:r>
      <w:r w:rsidR="0091662F">
        <w:t xml:space="preserve">Management will </w:t>
      </w:r>
      <w:r w:rsidR="00916DC9">
        <w:t>remain co</w:t>
      </w:r>
      <w:r>
        <w:t xml:space="preserve">vered under the </w:t>
      </w:r>
      <w:r w:rsidR="0091662F">
        <w:t xml:space="preserve">FY2025 Special Events Program and </w:t>
      </w:r>
      <w:r>
        <w:t xml:space="preserve">waiver </w:t>
      </w:r>
      <w:r w:rsidR="009B4252" w:rsidRPr="00765522">
        <w:t>program</w:t>
      </w:r>
      <w:r w:rsidRPr="00765522">
        <w:t>.</w:t>
      </w:r>
      <w:r>
        <w:t xml:space="preserve">  </w:t>
      </w:r>
    </w:p>
    <w:p w14:paraId="0CF9A26B" w14:textId="77777777" w:rsidR="0085251E" w:rsidRDefault="0085251E" w:rsidP="0077199A">
      <w:pPr>
        <w:numPr>
          <w:ilvl w:val="1"/>
          <w:numId w:val="0"/>
        </w:numPr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</w:pPr>
    </w:p>
    <w:p w14:paraId="15A301C1" w14:textId="5FD89FB6" w:rsidR="004E2780" w:rsidRPr="00A1643E" w:rsidRDefault="006F5781" w:rsidP="0077199A">
      <w:pPr>
        <w:numPr>
          <w:ilvl w:val="1"/>
          <w:numId w:val="0"/>
        </w:numPr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</w:pPr>
      <w:r w:rsidRPr="00A1643E"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  <w:t>NEW Use Agreement</w:t>
      </w:r>
      <w:r w:rsidR="0085251E"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  <w:t>s</w:t>
      </w:r>
    </w:p>
    <w:p w14:paraId="19858E50" w14:textId="4462D4E9" w:rsidR="006F5781" w:rsidRPr="0085251E" w:rsidRDefault="00A1643E" w:rsidP="006F5781">
      <w:pPr>
        <w:pStyle w:val="ListParagraph"/>
        <w:ind w:left="0"/>
        <w:rPr>
          <w:b/>
          <w:bCs/>
        </w:rPr>
      </w:pPr>
      <w:r>
        <w:t>T</w:t>
      </w:r>
      <w:r w:rsidRPr="00A1643E">
        <w:t>here are now separate new approved agreements for individuals and organizations.  The new agreements</w:t>
      </w:r>
      <w:r w:rsidR="006A6688">
        <w:t xml:space="preserve"> are a condition of coverage, </w:t>
      </w:r>
      <w:r w:rsidR="006A6688" w:rsidRPr="0085251E">
        <w:rPr>
          <w:b/>
          <w:bCs/>
        </w:rPr>
        <w:t>meaning they must be executed by both the lessor and the lessee and file</w:t>
      </w:r>
      <w:r w:rsidR="009B4252" w:rsidRPr="0085251E">
        <w:rPr>
          <w:b/>
          <w:bCs/>
        </w:rPr>
        <w:t>d</w:t>
      </w:r>
      <w:r w:rsidR="006A6688" w:rsidRPr="0085251E">
        <w:rPr>
          <w:b/>
          <w:bCs/>
        </w:rPr>
        <w:t xml:space="preserve"> with the parish records.</w:t>
      </w:r>
      <w:r w:rsidR="006A6688">
        <w:t xml:space="preserve"> (</w:t>
      </w:r>
      <w:r w:rsidRPr="00A1643E">
        <w:rPr>
          <w:i/>
        </w:rPr>
        <w:t>Updated</w:t>
      </w:r>
      <w:r w:rsidR="006F5781" w:rsidRPr="00A1643E">
        <w:rPr>
          <w:i/>
        </w:rPr>
        <w:t xml:space="preserve"> for events occurring 07/01/2025 and later</w:t>
      </w:r>
      <w:r w:rsidR="006F5781" w:rsidRPr="006F5781">
        <w:t>)</w:t>
      </w:r>
      <w:r>
        <w:t xml:space="preserve">. </w:t>
      </w:r>
      <w:r w:rsidR="006F5781" w:rsidRPr="006F5781">
        <w:t xml:space="preserve"> </w:t>
      </w:r>
      <w:r w:rsidR="0085251E" w:rsidRPr="007C692B">
        <w:rPr>
          <w:b/>
          <w:bCs/>
          <w:i/>
          <w:iCs/>
        </w:rPr>
        <w:t>Failure to have on file the executed agreement will result in the loss of insurance coverage under this program.</w:t>
      </w:r>
      <w:r w:rsidR="0085251E" w:rsidRPr="0085251E">
        <w:rPr>
          <w:b/>
          <w:bCs/>
        </w:rPr>
        <w:t xml:space="preserve"> </w:t>
      </w:r>
    </w:p>
    <w:p w14:paraId="7790D712" w14:textId="77777777" w:rsidR="006F5781" w:rsidRDefault="006F5781" w:rsidP="006F5781">
      <w:pPr>
        <w:pStyle w:val="ListParagraph"/>
        <w:ind w:left="0"/>
      </w:pPr>
    </w:p>
    <w:p w14:paraId="795C34E6" w14:textId="5DDECC31" w:rsidR="006F5781" w:rsidRPr="006F5781" w:rsidRDefault="006F5781" w:rsidP="006F5781">
      <w:pPr>
        <w:pStyle w:val="ListParagraph"/>
        <w:numPr>
          <w:ilvl w:val="0"/>
          <w:numId w:val="6"/>
        </w:numPr>
      </w:pPr>
      <w:hyperlink r:id="rId7" w:anchor="917453-v4-Form_-_Third_Party_Special_Event_Use_Agreement-_Individual.docx&quot;" w:history="1">
        <w:r w:rsidRPr="007B544C">
          <w:rPr>
            <w:rStyle w:val="Hyperlink"/>
          </w:rPr>
          <w:t>Third Party Facility Use Agreement – Individual</w:t>
        </w:r>
      </w:hyperlink>
    </w:p>
    <w:p w14:paraId="6166608D" w14:textId="59484B4D" w:rsidR="006F5781" w:rsidRPr="006F5781" w:rsidRDefault="006F5781" w:rsidP="006F5781">
      <w:pPr>
        <w:pStyle w:val="ListParagraph"/>
        <w:numPr>
          <w:ilvl w:val="0"/>
          <w:numId w:val="6"/>
        </w:numPr>
      </w:pPr>
      <w:hyperlink r:id="rId8" w:anchor="917451-v4-Form_-_Third_Party_Special_Event_Use_Agreement-_Commercial.docx&quot;" w:history="1">
        <w:r w:rsidRPr="007B544C">
          <w:rPr>
            <w:rStyle w:val="Hyperlink"/>
          </w:rPr>
          <w:t>Third Party Facility Use Agreement – Organization</w:t>
        </w:r>
      </w:hyperlink>
    </w:p>
    <w:p w14:paraId="3E661502" w14:textId="7BC75536" w:rsidR="004E2780" w:rsidRDefault="004E2780"/>
    <w:p w14:paraId="5914CFEE" w14:textId="77777777" w:rsidR="00A1643E" w:rsidRPr="00A1643E" w:rsidRDefault="00A1643E" w:rsidP="00A1643E">
      <w:pPr>
        <w:numPr>
          <w:ilvl w:val="1"/>
          <w:numId w:val="0"/>
        </w:numPr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</w:pPr>
      <w:r w:rsidRPr="00A1643E"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  <w:t>Reporting Events to Risk Management</w:t>
      </w:r>
    </w:p>
    <w:p w14:paraId="0E79BC53" w14:textId="3298C979" w:rsidR="00A1643E" w:rsidRDefault="00E968B4" w:rsidP="003B2FEF">
      <w:pPr>
        <w:pStyle w:val="ListParagraph"/>
        <w:ind w:left="0"/>
        <w:rPr>
          <w:b/>
          <w:bCs/>
        </w:rPr>
      </w:pPr>
      <w:r>
        <w:t xml:space="preserve">All events must </w:t>
      </w:r>
      <w:r w:rsidR="00A1643E">
        <w:t>be reported</w:t>
      </w:r>
      <w:r>
        <w:t xml:space="preserve"> to Risk Management</w:t>
      </w:r>
      <w:r w:rsidR="00A1643E">
        <w:t xml:space="preserve">.  To report events, please complete the online reporting form prior to the date of the event.  If an event that you have reported is canceled, please send an email to </w:t>
      </w:r>
      <w:hyperlink r:id="rId9" w:history="1">
        <w:r w:rsidRPr="006A6D3B">
          <w:rPr>
            <w:rStyle w:val="Hyperlink"/>
          </w:rPr>
          <w:t>riskmanagement@archbalt.org</w:t>
        </w:r>
      </w:hyperlink>
      <w:r>
        <w:t xml:space="preserve"> </w:t>
      </w:r>
      <w:r w:rsidR="00A1643E">
        <w:t>so that we may update our records.</w:t>
      </w:r>
      <w:r w:rsidR="0085251E">
        <w:t xml:space="preserve"> </w:t>
      </w:r>
      <w:r w:rsidR="0085251E" w:rsidRPr="007C692B">
        <w:rPr>
          <w:b/>
          <w:bCs/>
          <w:i/>
          <w:iCs/>
        </w:rPr>
        <w:t>Failure to report the event as noted above prior to the event will result in the loss of insurance coverage under this program.</w:t>
      </w:r>
      <w:r w:rsidR="0085251E" w:rsidRPr="0085251E">
        <w:rPr>
          <w:b/>
          <w:bCs/>
        </w:rPr>
        <w:t xml:space="preserve"> </w:t>
      </w:r>
    </w:p>
    <w:p w14:paraId="0B8529BC" w14:textId="77777777" w:rsidR="003B2FEF" w:rsidRPr="003B2FEF" w:rsidRDefault="003B2FEF" w:rsidP="003B2FEF">
      <w:pPr>
        <w:pStyle w:val="ListParagraph"/>
        <w:ind w:left="0"/>
        <w:rPr>
          <w:b/>
          <w:bCs/>
        </w:rPr>
      </w:pPr>
    </w:p>
    <w:p w14:paraId="6F3A6DFA" w14:textId="77777777" w:rsidR="00A1643E" w:rsidRDefault="00A1643E" w:rsidP="00A1643E">
      <w:pPr>
        <w:pStyle w:val="ListParagraph"/>
        <w:numPr>
          <w:ilvl w:val="0"/>
          <w:numId w:val="5"/>
        </w:numPr>
      </w:pPr>
      <w:hyperlink r:id="rId10" w:history="1">
        <w:r w:rsidRPr="00713443">
          <w:rPr>
            <w:rStyle w:val="Hyperlink"/>
          </w:rPr>
          <w:t>Event Reporting Form</w:t>
        </w:r>
      </w:hyperlink>
    </w:p>
    <w:p w14:paraId="291D0350" w14:textId="77777777" w:rsidR="00A1643E" w:rsidRDefault="00A1643E"/>
    <w:p w14:paraId="4BFA66A5" w14:textId="77777777" w:rsidR="0085251E" w:rsidRDefault="0085251E" w:rsidP="004E2780">
      <w:pPr>
        <w:numPr>
          <w:ilvl w:val="1"/>
          <w:numId w:val="0"/>
        </w:numPr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</w:pPr>
    </w:p>
    <w:p w14:paraId="6F9D4EF6" w14:textId="05D4B397" w:rsidR="004E2780" w:rsidRPr="00A1643E" w:rsidRDefault="004E2780" w:rsidP="004E2780">
      <w:pPr>
        <w:numPr>
          <w:ilvl w:val="1"/>
          <w:numId w:val="0"/>
        </w:numPr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</w:pPr>
      <w:r w:rsidRPr="00A1643E"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  <w:lastRenderedPageBreak/>
        <w:t>Covered Events</w:t>
      </w:r>
    </w:p>
    <w:p w14:paraId="62E7D264" w14:textId="77777777" w:rsidR="0016561D" w:rsidRDefault="0016561D" w:rsidP="0016561D">
      <w:pPr>
        <w:pStyle w:val="ListParagraph"/>
        <w:numPr>
          <w:ilvl w:val="0"/>
          <w:numId w:val="4"/>
        </w:numPr>
      </w:pPr>
      <w:r>
        <w:t>Banquet (a large meal honoring someone or something)</w:t>
      </w:r>
    </w:p>
    <w:p w14:paraId="17AD9B32" w14:textId="77777777" w:rsidR="0016561D" w:rsidRDefault="0016561D" w:rsidP="0016561D">
      <w:pPr>
        <w:pStyle w:val="ListParagraph"/>
        <w:numPr>
          <w:ilvl w:val="0"/>
          <w:numId w:val="4"/>
        </w:numPr>
      </w:pPr>
      <w:r>
        <w:t>Celebration (special social event marking an important event or occasion)</w:t>
      </w:r>
    </w:p>
    <w:p w14:paraId="65B030FE" w14:textId="77777777" w:rsidR="0016561D" w:rsidRDefault="0016561D" w:rsidP="0016561D">
      <w:pPr>
        <w:pStyle w:val="ListParagraph"/>
        <w:numPr>
          <w:ilvl w:val="0"/>
          <w:numId w:val="4"/>
        </w:numPr>
      </w:pPr>
      <w:r>
        <w:t>Conference (formal meeting at which there are groups of talks on a particular subject)</w:t>
      </w:r>
    </w:p>
    <w:p w14:paraId="3F888C02" w14:textId="77777777" w:rsidR="0016561D" w:rsidRDefault="0016561D" w:rsidP="0016561D">
      <w:pPr>
        <w:pStyle w:val="ListParagraph"/>
        <w:numPr>
          <w:ilvl w:val="0"/>
          <w:numId w:val="4"/>
        </w:numPr>
      </w:pPr>
      <w:r>
        <w:t>Dinner (formal dinner)</w:t>
      </w:r>
    </w:p>
    <w:p w14:paraId="2A9EAD91" w14:textId="77777777" w:rsidR="0016561D" w:rsidRDefault="0016561D" w:rsidP="0016561D">
      <w:pPr>
        <w:pStyle w:val="ListParagraph"/>
        <w:numPr>
          <w:ilvl w:val="0"/>
          <w:numId w:val="4"/>
        </w:numPr>
      </w:pPr>
      <w:r>
        <w:t>Fundraiser (an event held to generate financial support for a charity or special cause)</w:t>
      </w:r>
    </w:p>
    <w:p w14:paraId="72DC1A95" w14:textId="6CA298F2" w:rsidR="008967DC" w:rsidRDefault="0016561D" w:rsidP="0016561D">
      <w:pPr>
        <w:pStyle w:val="ListParagraph"/>
        <w:numPr>
          <w:ilvl w:val="0"/>
          <w:numId w:val="4"/>
        </w:numPr>
      </w:pPr>
      <w:r>
        <w:t>Gala (a glamorous social ev</w:t>
      </w:r>
      <w:r w:rsidR="008967DC">
        <w:t>ent often times with dancing)</w:t>
      </w:r>
    </w:p>
    <w:p w14:paraId="3A41D283" w14:textId="2086EA6D" w:rsidR="0016561D" w:rsidRDefault="0016561D" w:rsidP="0016561D">
      <w:pPr>
        <w:pStyle w:val="ListParagraph"/>
        <w:numPr>
          <w:ilvl w:val="0"/>
          <w:numId w:val="4"/>
        </w:numPr>
      </w:pPr>
      <w:r>
        <w:t>Indoor Stage Performance (play, concert, or other form of entertainment taking place on an indoor stage)</w:t>
      </w:r>
    </w:p>
    <w:p w14:paraId="0367386F" w14:textId="77777777" w:rsidR="0016561D" w:rsidRDefault="0016561D" w:rsidP="0016561D">
      <w:pPr>
        <w:pStyle w:val="ListParagraph"/>
        <w:numPr>
          <w:ilvl w:val="0"/>
          <w:numId w:val="4"/>
        </w:numPr>
      </w:pPr>
      <w:r>
        <w:t>Luncheon (formal lunch)</w:t>
      </w:r>
    </w:p>
    <w:p w14:paraId="1D5C033E" w14:textId="77777777" w:rsidR="0016561D" w:rsidRDefault="0016561D" w:rsidP="0016561D">
      <w:pPr>
        <w:pStyle w:val="ListParagraph"/>
        <w:numPr>
          <w:ilvl w:val="0"/>
          <w:numId w:val="4"/>
        </w:numPr>
      </w:pPr>
      <w:r>
        <w:t>Meeting (assembly of members of the same groups or society)</w:t>
      </w:r>
    </w:p>
    <w:p w14:paraId="07A8D863" w14:textId="77777777" w:rsidR="00E41BE7" w:rsidRDefault="0016561D" w:rsidP="0016561D">
      <w:pPr>
        <w:pStyle w:val="ListParagraph"/>
        <w:numPr>
          <w:ilvl w:val="0"/>
          <w:numId w:val="4"/>
        </w:numPr>
      </w:pPr>
      <w:r>
        <w:t>Party (informal social gathering)</w:t>
      </w:r>
    </w:p>
    <w:p w14:paraId="5C3FD399" w14:textId="77777777" w:rsidR="00E41BE7" w:rsidRDefault="0016561D" w:rsidP="0016561D">
      <w:pPr>
        <w:pStyle w:val="ListParagraph"/>
        <w:numPr>
          <w:ilvl w:val="0"/>
          <w:numId w:val="4"/>
        </w:numPr>
      </w:pPr>
      <w:r>
        <w:t>Reception (a formal social occasion held to welcome someone)</w:t>
      </w:r>
    </w:p>
    <w:p w14:paraId="5E69B098" w14:textId="77777777" w:rsidR="00E41BE7" w:rsidRDefault="0016561D" w:rsidP="0016561D">
      <w:pPr>
        <w:pStyle w:val="ListParagraph"/>
        <w:numPr>
          <w:ilvl w:val="0"/>
          <w:numId w:val="4"/>
        </w:numPr>
      </w:pPr>
      <w:r>
        <w:t>Seminar (meeting for training)</w:t>
      </w:r>
    </w:p>
    <w:p w14:paraId="69DAEFAE" w14:textId="4F457ABA" w:rsidR="00016D9C" w:rsidRDefault="0016561D" w:rsidP="0016561D">
      <w:pPr>
        <w:pStyle w:val="ListParagraph"/>
        <w:numPr>
          <w:ilvl w:val="0"/>
          <w:numId w:val="4"/>
        </w:numPr>
      </w:pPr>
      <w:r>
        <w:t>Workshop (meeting for discussion about a particular subject)</w:t>
      </w:r>
    </w:p>
    <w:p w14:paraId="378200C5" w14:textId="1D1BF1CA" w:rsidR="004E2780" w:rsidRDefault="004E2780" w:rsidP="004E2780">
      <w:r w:rsidRPr="004E2780">
        <w:rPr>
          <w:b/>
        </w:rPr>
        <w:t xml:space="preserve">ALL </w:t>
      </w:r>
      <w:r w:rsidR="003B2FEF">
        <w:rPr>
          <w:b/>
        </w:rPr>
        <w:t xml:space="preserve">COVERED </w:t>
      </w:r>
      <w:r w:rsidRPr="004E2780">
        <w:rPr>
          <w:b/>
        </w:rPr>
        <w:t>EVENTS</w:t>
      </w:r>
      <w:r>
        <w:t xml:space="preserve"> are limited to 500 participants.  </w:t>
      </w:r>
    </w:p>
    <w:p w14:paraId="77B21175" w14:textId="77777777" w:rsidR="004E2780" w:rsidRDefault="004E2780" w:rsidP="004E2780"/>
    <w:p w14:paraId="0FA67464" w14:textId="77777777" w:rsidR="00713443" w:rsidRPr="00A1643E" w:rsidRDefault="00713443" w:rsidP="00A1643E">
      <w:pPr>
        <w:numPr>
          <w:ilvl w:val="1"/>
          <w:numId w:val="0"/>
        </w:numPr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</w:pPr>
      <w:r w:rsidRPr="00A1643E"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  <w:t>INSURANCE REQUIREMENTS FOR INDIVIDUALS</w:t>
      </w:r>
    </w:p>
    <w:p w14:paraId="283A6805" w14:textId="77777777" w:rsidR="009B7891" w:rsidRDefault="00E968B4">
      <w:r w:rsidRPr="00E968B4">
        <w:t>Evidence of insurance is ONLY required if the event is not a covered use type (listed above) or involves over 500 participants.</w:t>
      </w:r>
      <w:r>
        <w:t xml:space="preserve">  </w:t>
      </w:r>
    </w:p>
    <w:p w14:paraId="635A29D0" w14:textId="0C0DCA68" w:rsidR="00E968B4" w:rsidRDefault="0085251E">
      <w:r>
        <w:t xml:space="preserve">For those individuals requiring evidence of </w:t>
      </w:r>
      <w:r w:rsidR="00CF1774">
        <w:t>insurance,</w:t>
      </w:r>
      <w:r>
        <w:t xml:space="preserve"> </w:t>
      </w:r>
      <w:r w:rsidR="001A48D5" w:rsidRPr="007C692B">
        <w:t>they</w:t>
      </w:r>
      <w:r w:rsidR="001A48D5">
        <w:t xml:space="preserve"> </w:t>
      </w:r>
      <w:r>
        <w:t xml:space="preserve">should either contact their insurance agent or </w:t>
      </w:r>
      <w:r w:rsidR="001A48D5" w:rsidRPr="007C692B">
        <w:t>locate</w:t>
      </w:r>
      <w:r>
        <w:t xml:space="preserve"> coverage online by purchasing the required </w:t>
      </w:r>
      <w:r w:rsidR="009B7891">
        <w:t>insurance</w:t>
      </w:r>
      <w:r>
        <w:t xml:space="preserve"> through </w:t>
      </w:r>
      <w:r w:rsidR="001A48D5" w:rsidRPr="007C692B">
        <w:t>a</w:t>
      </w:r>
      <w:r>
        <w:t xml:space="preserve"> carrier that </w:t>
      </w:r>
      <w:r w:rsidRPr="007C692B">
        <w:t>sell</w:t>
      </w:r>
      <w:r w:rsidR="001A48D5" w:rsidRPr="007C692B">
        <w:t>s</w:t>
      </w:r>
      <w:r>
        <w:t xml:space="preserve"> special event coverage. </w:t>
      </w:r>
    </w:p>
    <w:p w14:paraId="4457F233" w14:textId="43A336AD" w:rsidR="00786692" w:rsidRPr="004E2780" w:rsidRDefault="00713443">
      <w:pPr>
        <w:rPr>
          <w:b/>
          <w:u w:val="single"/>
        </w:rPr>
      </w:pPr>
      <w:r w:rsidRPr="00713443">
        <w:t>The required insurance is general liability insurance with a limit of not less than $1,000,</w:t>
      </w:r>
      <w:r>
        <w:t xml:space="preserve">000.  In addition, the certificate of insurance </w:t>
      </w:r>
      <w:r w:rsidRPr="00713443">
        <w:t xml:space="preserve">must name the parish/school </w:t>
      </w:r>
      <w:r w:rsidRPr="00E968B4">
        <w:rPr>
          <w:b/>
        </w:rPr>
        <w:t>and</w:t>
      </w:r>
      <w:r w:rsidRPr="00713443">
        <w:t xml:space="preserve"> the Roman Catholic Archbishop of Baltimore, a corporation sol</w:t>
      </w:r>
      <w:r w:rsidRPr="00765522">
        <w:t>e</w:t>
      </w:r>
      <w:r w:rsidR="009B4252" w:rsidRPr="00765522">
        <w:t>,</w:t>
      </w:r>
      <w:r w:rsidRPr="00713443">
        <w:t xml:space="preserve"> as </w:t>
      </w:r>
      <w:r w:rsidRPr="00E968B4">
        <w:rPr>
          <w:i/>
        </w:rPr>
        <w:t xml:space="preserve">additional insureds </w:t>
      </w:r>
      <w:r w:rsidRPr="00713443">
        <w:t xml:space="preserve">on a primary non-contributory basis and </w:t>
      </w:r>
      <w:r w:rsidRPr="00765522">
        <w:t>waive</w:t>
      </w:r>
      <w:r w:rsidRPr="00713443">
        <w:t xml:space="preserve"> their rights of subrogation.</w:t>
      </w:r>
      <w:r>
        <w:t xml:space="preserve">  </w:t>
      </w:r>
    </w:p>
    <w:p w14:paraId="6877710A" w14:textId="77777777" w:rsidR="004E2780" w:rsidRDefault="004E2780"/>
    <w:p w14:paraId="3F0B7C3F" w14:textId="63D4A2AE" w:rsidR="00713443" w:rsidRPr="00A1643E" w:rsidRDefault="00713443" w:rsidP="00713443">
      <w:pPr>
        <w:numPr>
          <w:ilvl w:val="1"/>
          <w:numId w:val="0"/>
        </w:numPr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</w:pPr>
      <w:r w:rsidRPr="00A1643E"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  <w:t>INSURANCE REQUIREMENTS FOR ORGANIZATIONS</w:t>
      </w:r>
    </w:p>
    <w:p w14:paraId="726EE104" w14:textId="3F229CFB" w:rsidR="00651F07" w:rsidRDefault="002079E0">
      <w:r>
        <w:t>An organization</w:t>
      </w:r>
      <w:r w:rsidR="008967DC">
        <w:t xml:space="preserve"> (</w:t>
      </w:r>
      <w:r w:rsidR="008967DC" w:rsidRPr="008967DC">
        <w:t>Commercial/Non-Profit entity</w:t>
      </w:r>
      <w:r w:rsidR="008967DC">
        <w:t>)</w:t>
      </w:r>
      <w:r>
        <w:t xml:space="preserve"> </w:t>
      </w:r>
      <w:r w:rsidR="00651F07" w:rsidRPr="00713443">
        <w:rPr>
          <w:b/>
        </w:rPr>
        <w:t>must</w:t>
      </w:r>
      <w:r w:rsidRPr="00713443">
        <w:rPr>
          <w:b/>
        </w:rPr>
        <w:t xml:space="preserve"> always</w:t>
      </w:r>
      <w:r w:rsidR="008967DC">
        <w:t xml:space="preserve"> submit</w:t>
      </w:r>
      <w:r>
        <w:t xml:space="preserve"> </w:t>
      </w:r>
      <w:r w:rsidR="00651F07">
        <w:t>evidence</w:t>
      </w:r>
      <w:r>
        <w:t xml:space="preserve"> </w:t>
      </w:r>
      <w:r w:rsidR="008967DC">
        <w:t xml:space="preserve">of </w:t>
      </w:r>
      <w:r w:rsidR="00BB7D8E">
        <w:t xml:space="preserve">the required </w:t>
      </w:r>
      <w:r>
        <w:t>insurance</w:t>
      </w:r>
      <w:r w:rsidR="00651F07">
        <w:t>.</w:t>
      </w:r>
      <w:r w:rsidR="006A6688">
        <w:t xml:space="preserve">  As it is a requirement of the contract, if the organization does not provide evidence of insurance, they are not permitted to use your facility.  </w:t>
      </w:r>
    </w:p>
    <w:p w14:paraId="7D552005" w14:textId="726CA6E1" w:rsidR="00651F07" w:rsidRDefault="00BB7D8E">
      <w:r>
        <w:t xml:space="preserve">The required insurance is </w:t>
      </w:r>
      <w:r w:rsidR="006F41EB">
        <w:t>general liability insurance with a limit of not less than $1,000,000.  In addition, individua</w:t>
      </w:r>
      <w:r w:rsidR="00D7459D">
        <w:t>ls</w:t>
      </w:r>
      <w:r w:rsidR="006F41EB">
        <w:t xml:space="preserve"> and o</w:t>
      </w:r>
      <w:r w:rsidR="00D7459D">
        <w:t xml:space="preserve">rganizations must name the parish/school </w:t>
      </w:r>
      <w:r w:rsidR="00D7459D" w:rsidRPr="00E968B4">
        <w:rPr>
          <w:b/>
        </w:rPr>
        <w:t>and</w:t>
      </w:r>
      <w:r w:rsidR="00D7459D">
        <w:t xml:space="preserve"> </w:t>
      </w:r>
      <w:r w:rsidR="008967DC" w:rsidRPr="008967DC">
        <w:t>the Roman Catholic Archbishop of Baltimore, a corporation sol</w:t>
      </w:r>
      <w:r w:rsidR="008967DC">
        <w:t>e</w:t>
      </w:r>
      <w:r w:rsidR="009B4252" w:rsidRPr="00765522">
        <w:t>,</w:t>
      </w:r>
      <w:r w:rsidR="00D7459D">
        <w:t xml:space="preserve"> as </w:t>
      </w:r>
      <w:r w:rsidR="00D7459D" w:rsidRPr="00E968B4">
        <w:rPr>
          <w:i/>
        </w:rPr>
        <w:t>addit</w:t>
      </w:r>
      <w:r w:rsidR="00413197" w:rsidRPr="00E968B4">
        <w:rPr>
          <w:i/>
        </w:rPr>
        <w:t>i</w:t>
      </w:r>
      <w:r w:rsidR="00D7459D" w:rsidRPr="00E968B4">
        <w:rPr>
          <w:i/>
        </w:rPr>
        <w:t>onal insureds</w:t>
      </w:r>
      <w:r w:rsidR="00D7459D">
        <w:t xml:space="preserve"> </w:t>
      </w:r>
      <w:r w:rsidR="00413197">
        <w:t>on a primary non-contributory basis and</w:t>
      </w:r>
      <w:r w:rsidR="009B4252">
        <w:t xml:space="preserve"> </w:t>
      </w:r>
      <w:r w:rsidR="009B4252" w:rsidRPr="00765522">
        <w:t>waive</w:t>
      </w:r>
      <w:r w:rsidR="00413197">
        <w:t xml:space="preserve"> their rights of subrogation.</w:t>
      </w:r>
    </w:p>
    <w:p w14:paraId="30A8F54F" w14:textId="5CD7930A" w:rsidR="004E2780" w:rsidRDefault="004E2780"/>
    <w:p w14:paraId="7CC271A4" w14:textId="77777777" w:rsidR="0085251E" w:rsidRDefault="0085251E"/>
    <w:p w14:paraId="4816F76A" w14:textId="7645A2B9" w:rsidR="00713443" w:rsidRPr="00A1643E" w:rsidRDefault="004E2780" w:rsidP="004E2780">
      <w:pPr>
        <w:numPr>
          <w:ilvl w:val="1"/>
          <w:numId w:val="0"/>
        </w:numPr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</w:pPr>
      <w:r w:rsidRPr="00A1643E"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  <w:lastRenderedPageBreak/>
        <w:t>EVENTS WITH VENDORS</w:t>
      </w:r>
      <w:r w:rsidR="0077199A" w:rsidRPr="00A1643E"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  <w:t xml:space="preserve"> (Individuals and Organizations)</w:t>
      </w:r>
    </w:p>
    <w:p w14:paraId="24925AE2" w14:textId="1FB25494" w:rsidR="0077199A" w:rsidRDefault="0077199A" w:rsidP="004E2780">
      <w:pPr>
        <w:numPr>
          <w:ilvl w:val="1"/>
          <w:numId w:val="0"/>
        </w:numPr>
      </w:pPr>
      <w:r w:rsidRPr="0077199A">
        <w:t xml:space="preserve">If the </w:t>
      </w:r>
      <w:r>
        <w:t>lessee is planning to hire outside vendors such as</w:t>
      </w:r>
      <w:r w:rsidR="009B4252">
        <w:t>,</w:t>
      </w:r>
      <w:r>
        <w:t xml:space="preserve"> but not limited to</w:t>
      </w:r>
      <w:r w:rsidR="009B4252" w:rsidRPr="00765522">
        <w:t>,</w:t>
      </w:r>
      <w:r>
        <w:t xml:space="preserve"> Caterer, DJ, Band, Photographers and/or Table</w:t>
      </w:r>
      <w:r w:rsidR="00CE0016">
        <w:t>/Outdoor</w:t>
      </w:r>
      <w:r>
        <w:t xml:space="preserve"> Games</w:t>
      </w:r>
      <w:r w:rsidR="009B4252" w:rsidRPr="00765522">
        <w:t>,</w:t>
      </w:r>
      <w:r>
        <w:t xml:space="preserve"> it is required that the lessee obtain evidence of insurance for the event</w:t>
      </w:r>
      <w:r w:rsidR="00CE0016">
        <w:t xml:space="preserve"> from the vendor</w:t>
      </w:r>
      <w:r>
        <w:t xml:space="preserve">.  </w:t>
      </w:r>
      <w:r w:rsidR="00CE0016">
        <w:t>The Vendor</w:t>
      </w:r>
      <w:r>
        <w:t xml:space="preserve"> proof of insurance is to be attached to the Use Agreement and filed with the parish/school.  ALL outside vendors are to be disclosed to the lessor and </w:t>
      </w:r>
      <w:r w:rsidR="009B4252" w:rsidRPr="00765522">
        <w:t>must</w:t>
      </w:r>
      <w:r w:rsidR="009B4252">
        <w:t xml:space="preserve"> </w:t>
      </w:r>
      <w:r>
        <w:t>comply with the insurance requirement.</w:t>
      </w:r>
    </w:p>
    <w:p w14:paraId="3A39DC24" w14:textId="57DBE144" w:rsidR="008F19CA" w:rsidRDefault="008F19CA" w:rsidP="004E2780">
      <w:pPr>
        <w:numPr>
          <w:ilvl w:val="1"/>
          <w:numId w:val="0"/>
        </w:numPr>
      </w:pPr>
      <w:r>
        <w:t>Additionally, a caterer must provide evidence of the required insurance if serving alcohol.</w:t>
      </w:r>
    </w:p>
    <w:p w14:paraId="2440627C" w14:textId="77777777" w:rsidR="008F19CA" w:rsidRPr="0077199A" w:rsidRDefault="008F19CA" w:rsidP="004E2780">
      <w:pPr>
        <w:numPr>
          <w:ilvl w:val="1"/>
          <w:numId w:val="0"/>
        </w:numPr>
      </w:pPr>
    </w:p>
    <w:p w14:paraId="5530E170" w14:textId="0FADC4C2" w:rsidR="004E2780" w:rsidRDefault="00D715EF">
      <w:pPr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</w:pPr>
      <w:r>
        <w:rPr>
          <w:rFonts w:asciiTheme="minorHAnsi" w:eastAsiaTheme="majorEastAsia" w:hAnsiTheme="minorHAnsi" w:cstheme="majorBidi"/>
          <w:color w:val="156082" w:themeColor="accent1"/>
          <w:spacing w:val="15"/>
          <w:sz w:val="28"/>
          <w:szCs w:val="28"/>
        </w:rPr>
        <w:t>IN SUMMARY</w:t>
      </w:r>
    </w:p>
    <w:p w14:paraId="52F3F5CE" w14:textId="06692B26" w:rsidR="009416BD" w:rsidRDefault="00D715EF" w:rsidP="009416BD">
      <w:r>
        <w:t>The AOB insurance program is replacing the single event (72 hour) waiver coverage.  W</w:t>
      </w:r>
      <w:r w:rsidRPr="00D715EF">
        <w:t>e are now including event coverage for all locations as part of the General Liability coverage of the AOB insurance program</w:t>
      </w:r>
      <w:r w:rsidR="00456138">
        <w:t>.  This change is effective for events occurring 07.01.2025 and later that were not previously submitted to Risk Management via the waiver use agreement.</w:t>
      </w:r>
    </w:p>
    <w:p w14:paraId="5D7CE55A" w14:textId="45FB376F" w:rsidR="00D715EF" w:rsidRPr="0039008D" w:rsidRDefault="001C34A7" w:rsidP="0039008D">
      <w:pPr>
        <w:pStyle w:val="ListParagraph"/>
        <w:numPr>
          <w:ilvl w:val="0"/>
          <w:numId w:val="8"/>
        </w:numPr>
        <w:rPr>
          <w:b/>
          <w:u w:val="single"/>
        </w:rPr>
      </w:pPr>
      <w:r>
        <w:t xml:space="preserve">The AOB Insurance Program General Liability </w:t>
      </w:r>
      <w:r w:rsidR="00456138">
        <w:t xml:space="preserve">coverage now includes an event </w:t>
      </w:r>
      <w:r w:rsidR="00D715EF" w:rsidRPr="00D715EF">
        <w:t xml:space="preserve">liability coverage in the amount of $1,000,000 that protects the location and Archdiocese when a loss is the result of a </w:t>
      </w:r>
      <w:r>
        <w:t xml:space="preserve">third party </w:t>
      </w:r>
      <w:r w:rsidR="00D715EF" w:rsidRPr="00D715EF">
        <w:t>special event held at the location.</w:t>
      </w:r>
    </w:p>
    <w:p w14:paraId="750C848D" w14:textId="1F35250F" w:rsidR="0039008D" w:rsidRPr="0039008D" w:rsidRDefault="00D715EF" w:rsidP="004A24B9">
      <w:pPr>
        <w:pStyle w:val="ListParagraph"/>
        <w:numPr>
          <w:ilvl w:val="0"/>
          <w:numId w:val="8"/>
        </w:numPr>
        <w:rPr>
          <w:b/>
          <w:u w:val="single"/>
        </w:rPr>
      </w:pPr>
      <w:r w:rsidRPr="00D715EF">
        <w:t>Wh</w:t>
      </w:r>
      <w:r w:rsidR="009B7C88">
        <w:t>en there is a special event at a</w:t>
      </w:r>
      <w:r w:rsidRPr="00D715EF">
        <w:t xml:space="preserve"> location, the location must register the event using the process </w:t>
      </w:r>
      <w:r>
        <w:t>shared above</w:t>
      </w:r>
      <w:r w:rsidR="009B7C88">
        <w:t xml:space="preserve"> </w:t>
      </w:r>
      <w:r w:rsidR="009B7C88" w:rsidRPr="0039008D">
        <w:rPr>
          <w:i/>
        </w:rPr>
        <w:t>Reporting Events to Risk Management</w:t>
      </w:r>
      <w:r w:rsidR="0085251E">
        <w:rPr>
          <w:i/>
        </w:rPr>
        <w:t xml:space="preserve"> </w:t>
      </w:r>
      <w:r w:rsidR="0085251E">
        <w:rPr>
          <w:iCs/>
        </w:rPr>
        <w:t>and complete the appropriate Third-Party Facility Use Agreement</w:t>
      </w:r>
      <w:r w:rsidRPr="00D715EF">
        <w:t>.</w:t>
      </w:r>
      <w:r w:rsidR="004A24B9">
        <w:t xml:space="preserve">  Consequently, if</w:t>
      </w:r>
      <w:r w:rsidR="009B7C88">
        <w:t xml:space="preserve"> an event is not </w:t>
      </w:r>
      <w:r w:rsidR="004A24B9">
        <w:t>reported to Risk Management</w:t>
      </w:r>
      <w:r w:rsidR="0085251E">
        <w:t xml:space="preserve"> and the Third</w:t>
      </w:r>
      <w:r w:rsidR="002D2E51">
        <w:t>-</w:t>
      </w:r>
      <w:r w:rsidR="0085251E">
        <w:t xml:space="preserve">Party Facility Agreement is </w:t>
      </w:r>
      <w:r w:rsidR="008F19CA">
        <w:t xml:space="preserve">not </w:t>
      </w:r>
      <w:r w:rsidR="0085251E">
        <w:t>on file at the location</w:t>
      </w:r>
      <w:r w:rsidR="004A24B9">
        <w:t>, and a loss occurs, this claim will be denied.</w:t>
      </w:r>
    </w:p>
    <w:p w14:paraId="6AD7EAE1" w14:textId="6BF5284E" w:rsidR="0039008D" w:rsidRPr="0039008D" w:rsidRDefault="009B7C88" w:rsidP="004A24B9">
      <w:pPr>
        <w:pStyle w:val="ListParagraph"/>
        <w:numPr>
          <w:ilvl w:val="0"/>
          <w:numId w:val="8"/>
        </w:numPr>
        <w:rPr>
          <w:b/>
          <w:u w:val="single"/>
        </w:rPr>
      </w:pPr>
      <w:r w:rsidRPr="009B7C88">
        <w:t>The sponsor of the event is no longer a prot</w:t>
      </w:r>
      <w:r>
        <w:t>ected party under this new liability policy. Rather, it is their</w:t>
      </w:r>
      <w:r w:rsidRPr="009B7C88">
        <w:t xml:space="preserve"> obligation to understand that if there is a loss for which the sponsor is responsible, it is possible the carrier handling the claim under the special event policy issued to the location and AOB, may look to make a claim against the sponsor. For that </w:t>
      </w:r>
      <w:r w:rsidR="004A24B9" w:rsidRPr="009B7C88">
        <w:t>reason,</w:t>
      </w:r>
      <w:r w:rsidRPr="009B7C88">
        <w:t xml:space="preserve"> it is </w:t>
      </w:r>
      <w:r w:rsidR="004A24B9">
        <w:t>important that</w:t>
      </w:r>
      <w:r>
        <w:t xml:space="preserve"> the sponsor </w:t>
      </w:r>
      <w:r w:rsidR="002D2E51">
        <w:t xml:space="preserve">understand they have the option of securing their own special event coverage either by contacting their insurance agent or finding a special event policy online. </w:t>
      </w:r>
    </w:p>
    <w:p w14:paraId="1086748C" w14:textId="7A990825" w:rsidR="0039008D" w:rsidRPr="0039008D" w:rsidRDefault="0039008D" w:rsidP="004A24B9">
      <w:pPr>
        <w:pStyle w:val="ListParagraph"/>
        <w:numPr>
          <w:ilvl w:val="0"/>
          <w:numId w:val="8"/>
        </w:numPr>
        <w:rPr>
          <w:b/>
          <w:u w:val="single"/>
        </w:rPr>
      </w:pPr>
      <w:r>
        <w:t>In the event of an incident, the claim would be reported as a Liability Loss and we ask that you provide the event sponsor contact information in the description of the claim as well as uploading a copy of the use agreement for the event.</w:t>
      </w:r>
    </w:p>
    <w:p w14:paraId="367A07BB" w14:textId="77777777" w:rsidR="0039008D" w:rsidRPr="0039008D" w:rsidRDefault="004A24B9" w:rsidP="004A24B9">
      <w:pPr>
        <w:pStyle w:val="ListParagraph"/>
        <w:numPr>
          <w:ilvl w:val="0"/>
          <w:numId w:val="8"/>
        </w:numPr>
        <w:rPr>
          <w:b/>
          <w:u w:val="single"/>
        </w:rPr>
      </w:pPr>
      <w:r>
        <w:t xml:space="preserve">The </w:t>
      </w:r>
      <w:r w:rsidRPr="004A24B9">
        <w:t xml:space="preserve">cost of this primary 1,000,000 policy for special events is going to be included in the </w:t>
      </w:r>
      <w:r w:rsidR="0039008D">
        <w:t xml:space="preserve">annual </w:t>
      </w:r>
      <w:r w:rsidRPr="004A24B9">
        <w:t>rate charged for general liability. As such, th</w:t>
      </w:r>
      <w:r>
        <w:t>e cost of this coverage will be spread</w:t>
      </w:r>
      <w:r w:rsidRPr="004A24B9">
        <w:t xml:space="preserve"> among all participating locations and as a result, the cost to </w:t>
      </w:r>
      <w:r w:rsidR="0039008D">
        <w:t>each location should be minimal.</w:t>
      </w:r>
    </w:p>
    <w:p w14:paraId="1528D20E" w14:textId="637C66A1" w:rsidR="004A24B9" w:rsidRPr="0039008D" w:rsidRDefault="004A24B9" w:rsidP="004A24B9">
      <w:pPr>
        <w:pStyle w:val="ListParagraph"/>
        <w:numPr>
          <w:ilvl w:val="0"/>
          <w:numId w:val="8"/>
        </w:numPr>
        <w:rPr>
          <w:b/>
          <w:u w:val="single"/>
        </w:rPr>
      </w:pPr>
      <w:r>
        <w:t>Locations can</w:t>
      </w:r>
      <w:r w:rsidRPr="004A24B9">
        <w:t xml:space="preserve"> consider including a</w:t>
      </w:r>
      <w:r>
        <w:t>n additional</w:t>
      </w:r>
      <w:r w:rsidRPr="004A24B9">
        <w:t xml:space="preserve"> charge in the </w:t>
      </w:r>
      <w:r>
        <w:t>“rental” fee</w:t>
      </w:r>
      <w:r w:rsidRPr="004A24B9">
        <w:t xml:space="preserve"> to </w:t>
      </w:r>
      <w:r>
        <w:t>offset</w:t>
      </w:r>
      <w:r w:rsidRPr="004A24B9">
        <w:t xml:space="preserve"> any minor</w:t>
      </w:r>
      <w:r w:rsidR="0039008D">
        <w:t xml:space="preserve"> premium increase directly </w:t>
      </w:r>
      <w:r w:rsidRPr="004A24B9">
        <w:t xml:space="preserve">related </w:t>
      </w:r>
      <w:r w:rsidR="0039008D">
        <w:t>to</w:t>
      </w:r>
      <w:r w:rsidRPr="004A24B9">
        <w:t xml:space="preserve"> this special event coverage layer.</w:t>
      </w:r>
    </w:p>
    <w:p w14:paraId="20DAEDA1" w14:textId="77777777" w:rsidR="009416BD" w:rsidRDefault="009416BD"/>
    <w:p w14:paraId="72BCCA01" w14:textId="77777777" w:rsidR="00713443" w:rsidRDefault="008F1859" w:rsidP="00713443">
      <w:r>
        <w:t xml:space="preserve">If you have any questions, please contact </w:t>
      </w:r>
      <w:hyperlink r:id="rId11" w:history="1">
        <w:r w:rsidR="00FC5294" w:rsidRPr="00FC5294">
          <w:rPr>
            <w:rStyle w:val="Hyperlink"/>
            <w:rFonts w:eastAsia="Times New Roman"/>
            <w:color w:val="0000FF"/>
          </w:rPr>
          <w:t>RiskManagement@ArchBalt.org</w:t>
        </w:r>
      </w:hyperlink>
      <w:r w:rsidR="00FC5294">
        <w:t>.</w:t>
      </w:r>
    </w:p>
    <w:p w14:paraId="505E5025" w14:textId="37113E78" w:rsidR="000C54E8" w:rsidRDefault="000C54E8"/>
    <w:sectPr w:rsidR="000C54E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6EF1" w14:textId="77777777" w:rsidR="004A6D20" w:rsidRDefault="004A6D20" w:rsidP="00A60B02">
      <w:pPr>
        <w:spacing w:after="0" w:line="240" w:lineRule="auto"/>
      </w:pPr>
      <w:r>
        <w:separator/>
      </w:r>
    </w:p>
  </w:endnote>
  <w:endnote w:type="continuationSeparator" w:id="0">
    <w:p w14:paraId="12303AEB" w14:textId="77777777" w:rsidR="004A6D20" w:rsidRDefault="004A6D20" w:rsidP="00A6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BF3C" w14:textId="22F8C3C3" w:rsidR="00A60B02" w:rsidRPr="00A60B02" w:rsidRDefault="00A60B02">
    <w:pPr>
      <w:pStyle w:val="Footer"/>
      <w:rPr>
        <w:sz w:val="16"/>
        <w:szCs w:val="16"/>
      </w:rPr>
    </w:pPr>
    <w:r w:rsidRPr="00A60B02">
      <w:rPr>
        <w:sz w:val="16"/>
        <w:szCs w:val="16"/>
      </w:rPr>
      <w:fldChar w:fldCharType="begin"/>
    </w:r>
    <w:r w:rsidRPr="00A60B02">
      <w:rPr>
        <w:sz w:val="16"/>
        <w:szCs w:val="16"/>
      </w:rPr>
      <w:instrText xml:space="preserve"> FILENAME   \* MERGEFORMAT </w:instrText>
    </w:r>
    <w:r w:rsidRPr="00A60B02">
      <w:rPr>
        <w:sz w:val="16"/>
        <w:szCs w:val="16"/>
      </w:rPr>
      <w:fldChar w:fldCharType="separate"/>
    </w:r>
    <w:r w:rsidRPr="00A60B02">
      <w:rPr>
        <w:noProof/>
        <w:sz w:val="16"/>
        <w:szCs w:val="16"/>
      </w:rPr>
      <w:t>Memo Short Term Facility Use Changes 2025 07 01 AOB</w:t>
    </w:r>
    <w:r w:rsidRPr="00A60B0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7D49" w14:textId="77777777" w:rsidR="004A6D20" w:rsidRDefault="004A6D20" w:rsidP="00A60B02">
      <w:pPr>
        <w:spacing w:after="0" w:line="240" w:lineRule="auto"/>
      </w:pPr>
      <w:r>
        <w:separator/>
      </w:r>
    </w:p>
  </w:footnote>
  <w:footnote w:type="continuationSeparator" w:id="0">
    <w:p w14:paraId="0DE21380" w14:textId="77777777" w:rsidR="004A6D20" w:rsidRDefault="004A6D20" w:rsidP="00A6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7FD"/>
    <w:multiLevelType w:val="hybridMultilevel"/>
    <w:tmpl w:val="3E2EB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1ECB"/>
    <w:multiLevelType w:val="hybridMultilevel"/>
    <w:tmpl w:val="F008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3D3"/>
    <w:multiLevelType w:val="hybridMultilevel"/>
    <w:tmpl w:val="4F8E8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68FE"/>
    <w:multiLevelType w:val="hybridMultilevel"/>
    <w:tmpl w:val="96C80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15248"/>
    <w:multiLevelType w:val="hybridMultilevel"/>
    <w:tmpl w:val="B6A6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44195"/>
    <w:multiLevelType w:val="hybridMultilevel"/>
    <w:tmpl w:val="8944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637D6"/>
    <w:multiLevelType w:val="hybridMultilevel"/>
    <w:tmpl w:val="BA2C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C158B"/>
    <w:multiLevelType w:val="hybridMultilevel"/>
    <w:tmpl w:val="5CA2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07017">
    <w:abstractNumId w:val="1"/>
  </w:num>
  <w:num w:numId="2" w16cid:durableId="2045057046">
    <w:abstractNumId w:val="5"/>
  </w:num>
  <w:num w:numId="3" w16cid:durableId="832575154">
    <w:abstractNumId w:val="4"/>
  </w:num>
  <w:num w:numId="4" w16cid:durableId="483938250">
    <w:abstractNumId w:val="0"/>
  </w:num>
  <w:num w:numId="5" w16cid:durableId="26953113">
    <w:abstractNumId w:val="7"/>
  </w:num>
  <w:num w:numId="6" w16cid:durableId="30303270">
    <w:abstractNumId w:val="6"/>
  </w:num>
  <w:num w:numId="7" w16cid:durableId="1586571772">
    <w:abstractNumId w:val="2"/>
  </w:num>
  <w:num w:numId="8" w16cid:durableId="683173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15"/>
    <w:rsid w:val="00000255"/>
    <w:rsid w:val="00016D9C"/>
    <w:rsid w:val="00050874"/>
    <w:rsid w:val="00071D33"/>
    <w:rsid w:val="000C54E8"/>
    <w:rsid w:val="00117053"/>
    <w:rsid w:val="00124F4E"/>
    <w:rsid w:val="0016561D"/>
    <w:rsid w:val="001A48D5"/>
    <w:rsid w:val="001C34A7"/>
    <w:rsid w:val="001E1C20"/>
    <w:rsid w:val="002079E0"/>
    <w:rsid w:val="00261EB8"/>
    <w:rsid w:val="00282BAD"/>
    <w:rsid w:val="002D2E51"/>
    <w:rsid w:val="002F6BEA"/>
    <w:rsid w:val="00361B19"/>
    <w:rsid w:val="00362B8C"/>
    <w:rsid w:val="0039008D"/>
    <w:rsid w:val="003B2FEF"/>
    <w:rsid w:val="00413197"/>
    <w:rsid w:val="00456138"/>
    <w:rsid w:val="004A24B9"/>
    <w:rsid w:val="004A6D20"/>
    <w:rsid w:val="004B22C9"/>
    <w:rsid w:val="004B7F03"/>
    <w:rsid w:val="004E2780"/>
    <w:rsid w:val="005022EF"/>
    <w:rsid w:val="00555683"/>
    <w:rsid w:val="005F7CCF"/>
    <w:rsid w:val="006008CA"/>
    <w:rsid w:val="00616802"/>
    <w:rsid w:val="00651F07"/>
    <w:rsid w:val="006701A7"/>
    <w:rsid w:val="006A6688"/>
    <w:rsid w:val="006B0186"/>
    <w:rsid w:val="006F41EB"/>
    <w:rsid w:val="006F5781"/>
    <w:rsid w:val="00713443"/>
    <w:rsid w:val="0075518A"/>
    <w:rsid w:val="00765522"/>
    <w:rsid w:val="00766D20"/>
    <w:rsid w:val="0077199A"/>
    <w:rsid w:val="00776980"/>
    <w:rsid w:val="00786692"/>
    <w:rsid w:val="007B544C"/>
    <w:rsid w:val="007C2DDA"/>
    <w:rsid w:val="007C692B"/>
    <w:rsid w:val="007F2CE7"/>
    <w:rsid w:val="00823ED0"/>
    <w:rsid w:val="00846163"/>
    <w:rsid w:val="0085251E"/>
    <w:rsid w:val="008967DC"/>
    <w:rsid w:val="008F1859"/>
    <w:rsid w:val="008F19CA"/>
    <w:rsid w:val="0091662F"/>
    <w:rsid w:val="00916DC9"/>
    <w:rsid w:val="009416BD"/>
    <w:rsid w:val="00975C8E"/>
    <w:rsid w:val="009B4252"/>
    <w:rsid w:val="009B7891"/>
    <w:rsid w:val="009B7C88"/>
    <w:rsid w:val="009E0751"/>
    <w:rsid w:val="00A1643E"/>
    <w:rsid w:val="00A60B02"/>
    <w:rsid w:val="00A93C28"/>
    <w:rsid w:val="00AD3045"/>
    <w:rsid w:val="00AD7B7B"/>
    <w:rsid w:val="00B33B32"/>
    <w:rsid w:val="00B40FA4"/>
    <w:rsid w:val="00B50BB4"/>
    <w:rsid w:val="00B63442"/>
    <w:rsid w:val="00BB7D8E"/>
    <w:rsid w:val="00C21CE3"/>
    <w:rsid w:val="00C94D37"/>
    <w:rsid w:val="00C94F15"/>
    <w:rsid w:val="00CE0016"/>
    <w:rsid w:val="00CE59BD"/>
    <w:rsid w:val="00CF1774"/>
    <w:rsid w:val="00D45BDF"/>
    <w:rsid w:val="00D715EF"/>
    <w:rsid w:val="00D7459D"/>
    <w:rsid w:val="00D87E69"/>
    <w:rsid w:val="00E1686E"/>
    <w:rsid w:val="00E3263D"/>
    <w:rsid w:val="00E41BE7"/>
    <w:rsid w:val="00E968B4"/>
    <w:rsid w:val="00F602AD"/>
    <w:rsid w:val="00F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09B02"/>
  <w15:chartTrackingRefBased/>
  <w15:docId w15:val="{12BA15F1-B7BA-49F3-AA13-4F33490D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3E"/>
  </w:style>
  <w:style w:type="paragraph" w:styleId="Heading1">
    <w:name w:val="heading 1"/>
    <w:basedOn w:val="Normal"/>
    <w:next w:val="Normal"/>
    <w:link w:val="Heading1Char"/>
    <w:uiPriority w:val="9"/>
    <w:qFormat/>
    <w:rsid w:val="00C94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F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F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F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F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F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F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F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F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F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F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F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F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F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F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F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F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F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529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B02"/>
  </w:style>
  <w:style w:type="paragraph" w:styleId="Footer">
    <w:name w:val="footer"/>
    <w:basedOn w:val="Normal"/>
    <w:link w:val="FooterChar"/>
    <w:uiPriority w:val="99"/>
    <w:unhideWhenUsed/>
    <w:rsid w:val="00A6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B02"/>
  </w:style>
  <w:style w:type="character" w:styleId="FollowedHyperlink">
    <w:name w:val="FollowedHyperlink"/>
    <w:basedOn w:val="DefaultParagraphFont"/>
    <w:uiPriority w:val="99"/>
    <w:semiHidden/>
    <w:unhideWhenUsed/>
    <w:rsid w:val="009416B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iana.appel\AppData\Local\Microsoft\Windows\INetCache\Content.Outlook\CFAHI5EY\%22H:\Office%20of%20Risk%20Management%20%20(New)\Facilities\Use%20Agreements\Third%20Party%20Facility%20Use\Special%20Events%20Program%20Changes%202025.07.01\Use%20Agreement%20Changes\DOCS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diana.appel\AppData\Local\Microsoft\Windows\INetCache\Content.Outlook\CFAHI5EY\%22H:\Office%20of%20Risk%20Management%20%20(New)\Facilities\Use%20Agreements\Third%20Party%20Facility%20Use\Special%20Events%20Program%20Changes%202025.07.01\Use%20Agreement%20Changes\DOCS-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skManagement@ArchBalt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tyX4sKy6M8q4ahma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skmanagement@archbal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Porter</dc:creator>
  <cp:keywords/>
  <dc:description/>
  <cp:lastModifiedBy>Appel, Diana</cp:lastModifiedBy>
  <cp:revision>7</cp:revision>
  <dcterms:created xsi:type="dcterms:W3CDTF">2025-04-11T17:08:00Z</dcterms:created>
  <dcterms:modified xsi:type="dcterms:W3CDTF">2025-04-11T19:28:00Z</dcterms:modified>
</cp:coreProperties>
</file>