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DF7A59" w:rsidTr="00DF7A59">
        <w:trPr>
          <w:tblCellSpacing w:w="0" w:type="dxa"/>
          <w:jc w:val="center"/>
        </w:trPr>
        <w:tc>
          <w:tcPr>
            <w:tcW w:w="0" w:type="auto"/>
            <w:shd w:val="clear" w:color="auto" w:fill="EEEEEE"/>
            <w:vAlign w:val="center"/>
            <w:hideMark/>
          </w:tcPr>
          <w:tbl>
            <w:tblPr>
              <w:tblpPr w:leftFromText="180" w:rightFromText="180" w:vertAnchor="text"/>
              <w:tblW w:w="9000" w:type="dxa"/>
              <w:tblCellMar>
                <w:left w:w="0" w:type="dxa"/>
                <w:right w:w="0" w:type="dxa"/>
              </w:tblCellMar>
              <w:tblLook w:val="04A0" w:firstRow="1" w:lastRow="0" w:firstColumn="1" w:lastColumn="0" w:noHBand="0" w:noVBand="1"/>
            </w:tblPr>
            <w:tblGrid>
              <w:gridCol w:w="9000"/>
            </w:tblGrid>
            <w:tr w:rsidR="00DF7A59">
              <w:tc>
                <w:tcPr>
                  <w:tcW w:w="9000" w:type="dxa"/>
                  <w:shd w:val="clear" w:color="auto" w:fill="FFFFFF"/>
                  <w:tcMar>
                    <w:top w:w="75" w:type="dxa"/>
                    <w:left w:w="75" w:type="dxa"/>
                    <w:bottom w:w="75" w:type="dxa"/>
                    <w:right w:w="75" w:type="dxa"/>
                  </w:tcMar>
                </w:tcPr>
                <w:p w:rsidR="00DF7A59" w:rsidRDefault="00DF7A59">
                  <w:r>
                    <w:rPr>
                      <w:noProof/>
                    </w:rPr>
                    <w:drawing>
                      <wp:inline distT="0" distB="0" distL="0" distR="0" wp14:anchorId="007A4EF5" wp14:editId="5645AEF4">
                        <wp:extent cx="5619750" cy="1162050"/>
                        <wp:effectExtent l="0" t="0" r="0" b="0"/>
                        <wp:docPr id="4" name="Picture 4" desc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1162050"/>
                                </a:xfrm>
                                <a:prstGeom prst="rect">
                                  <a:avLst/>
                                </a:prstGeom>
                                <a:noFill/>
                                <a:ln>
                                  <a:noFill/>
                                </a:ln>
                              </pic:spPr>
                            </pic:pic>
                          </a:graphicData>
                        </a:graphic>
                      </wp:inline>
                    </w:drawing>
                  </w:r>
                </w:p>
                <w:p w:rsidR="00DF7A59" w:rsidRDefault="00DF7A59"/>
              </w:tc>
            </w:tr>
            <w:tr w:rsidR="00DF7A59">
              <w:tc>
                <w:tcPr>
                  <w:tcW w:w="9000" w:type="dxa"/>
                  <w:shd w:val="clear" w:color="auto" w:fill="FFFFFF"/>
                  <w:tcMar>
                    <w:top w:w="75" w:type="dxa"/>
                    <w:left w:w="75" w:type="dxa"/>
                    <w:bottom w:w="75" w:type="dxa"/>
                    <w:right w:w="75" w:type="dxa"/>
                  </w:tcMar>
                  <w:hideMark/>
                </w:tcPr>
                <w:p w:rsidR="00DF7A59" w:rsidRDefault="00DF7A59">
                  <w:pPr>
                    <w:pStyle w:val="Heading1"/>
                    <w:spacing w:before="0" w:beforeAutospacing="0" w:after="75" w:afterAutospacing="0"/>
                    <w:jc w:val="center"/>
                    <w:rPr>
                      <w:rFonts w:ascii="Arial" w:eastAsia="Times New Roman" w:hAnsi="Arial" w:cs="Arial"/>
                      <w:sz w:val="30"/>
                      <w:szCs w:val="30"/>
                    </w:rPr>
                  </w:pPr>
                  <w:r>
                    <w:rPr>
                      <w:rFonts w:ascii="Arial" w:eastAsia="Times New Roman" w:hAnsi="Arial" w:cs="Arial"/>
                      <w:color w:val="000000"/>
                      <w:sz w:val="30"/>
                      <w:szCs w:val="30"/>
                    </w:rPr>
                    <w:t xml:space="preserve">Haunted House Safety Guidelines </w:t>
                  </w:r>
                  <w:proofErr w:type="gramStart"/>
                  <w:r>
                    <w:rPr>
                      <w:rFonts w:ascii="Arial" w:eastAsia="Times New Roman" w:hAnsi="Arial" w:cs="Arial"/>
                      <w:color w:val="000000"/>
                      <w:sz w:val="30"/>
                      <w:szCs w:val="30"/>
                    </w:rPr>
                    <w:t>To</w:t>
                  </w:r>
                  <w:proofErr w:type="gramEnd"/>
                  <w:r>
                    <w:rPr>
                      <w:rFonts w:ascii="Arial" w:eastAsia="Times New Roman" w:hAnsi="Arial" w:cs="Arial"/>
                      <w:color w:val="000000"/>
                      <w:sz w:val="30"/>
                      <w:szCs w:val="30"/>
                    </w:rPr>
                    <w:t xml:space="preserve"> Look Out For This Halloween</w:t>
                  </w:r>
                </w:p>
                <w:p w:rsidR="00DF7A59" w:rsidRDefault="00DF7A59">
                  <w:pPr>
                    <w:pStyle w:val="gdp"/>
                    <w:spacing w:after="240" w:afterAutospacing="0"/>
                    <w:rPr>
                      <w:rFonts w:ascii="Arial" w:hAnsi="Arial" w:cs="Arial"/>
                      <w:color w:val="232323"/>
                      <w:sz w:val="20"/>
                      <w:szCs w:val="20"/>
                    </w:rPr>
                  </w:pPr>
                  <w:r>
                    <w:rPr>
                      <w:rStyle w:val="Strong"/>
                      <w:rFonts w:ascii="Arial" w:hAnsi="Arial" w:cs="Arial"/>
                      <w:color w:val="232323"/>
                      <w:sz w:val="20"/>
                      <w:szCs w:val="20"/>
                    </w:rPr>
                    <w:t>STATEWIDE, October 7, 2019 - </w:t>
                  </w:r>
                  <w:r>
                    <w:rPr>
                      <w:rFonts w:ascii="Arial" w:hAnsi="Arial" w:cs="Arial"/>
                      <w:color w:val="232323"/>
                      <w:sz w:val="20"/>
                      <w:szCs w:val="20"/>
                    </w:rPr>
                    <w:t>Many Marylanders will enjoy a variety special amusement buildings to celebrate Halloween this October. It is important to keep in mind that these structures have unique fire safety requirements in order to create an enjoyable and safe environment for everyone.</w:t>
                  </w:r>
                </w:p>
                <w:p w:rsidR="00DF7A59" w:rsidRDefault="00DF7A59">
                  <w:pPr>
                    <w:pStyle w:val="gdp"/>
                    <w:spacing w:after="240" w:afterAutospacing="0"/>
                    <w:rPr>
                      <w:rFonts w:ascii="Arial" w:hAnsi="Arial" w:cs="Arial"/>
                      <w:color w:val="232323"/>
                      <w:sz w:val="20"/>
                      <w:szCs w:val="20"/>
                    </w:rPr>
                  </w:pPr>
                  <w:r>
                    <w:rPr>
                      <w:rFonts w:ascii="Arial" w:hAnsi="Arial" w:cs="Arial"/>
                      <w:color w:val="232323"/>
                      <w:sz w:val="20"/>
                      <w:szCs w:val="20"/>
                    </w:rPr>
                    <w:t xml:space="preserve">"Smoke machines, dim lighting, cramped corridors, and loud noises can create true terror for patrons if a fire occurs within a haunted house attraction," said State Fire Marshal Brian S. </w:t>
                  </w:r>
                  <w:proofErr w:type="spellStart"/>
                  <w:r>
                    <w:rPr>
                      <w:rFonts w:ascii="Arial" w:hAnsi="Arial" w:cs="Arial"/>
                      <w:color w:val="232323"/>
                      <w:sz w:val="20"/>
                      <w:szCs w:val="20"/>
                    </w:rPr>
                    <w:t>Geraci</w:t>
                  </w:r>
                  <w:proofErr w:type="spellEnd"/>
                  <w:r>
                    <w:rPr>
                      <w:rFonts w:ascii="Arial" w:hAnsi="Arial" w:cs="Arial"/>
                      <w:color w:val="232323"/>
                      <w:sz w:val="20"/>
                      <w:szCs w:val="20"/>
                    </w:rPr>
                    <w:t>. "It is important for both owners and attendees to be vigilant when it comes to fire safety requirements at these venues."</w:t>
                  </w:r>
                </w:p>
                <w:p w:rsidR="00DF7A59" w:rsidRDefault="00DF7A59">
                  <w:pPr>
                    <w:pStyle w:val="gdp"/>
                    <w:spacing w:after="240" w:afterAutospacing="0"/>
                    <w:rPr>
                      <w:rFonts w:ascii="Arial" w:hAnsi="Arial" w:cs="Arial"/>
                      <w:color w:val="232323"/>
                      <w:sz w:val="20"/>
                      <w:szCs w:val="20"/>
                    </w:rPr>
                  </w:pPr>
                  <w:r>
                    <w:rPr>
                      <w:rFonts w:ascii="Arial" w:hAnsi="Arial" w:cs="Arial"/>
                      <w:color w:val="232323"/>
                      <w:sz w:val="20"/>
                      <w:szCs w:val="20"/>
                    </w:rPr>
                    <w:t>As you and your family and friends attend the haunted houses located across Maryland this fall, look out for the following fire and life safety provisions.</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Approved automated sprinkler and smoke detection systems throughout the structure.</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At least two means of egress on every occupied floor, located as remote as possible from each other. These exits should be clearly marked by directional signage that is illuminated for enhanced visibility. </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Unoccupied floors and areas should be secured against unauthorized entry.</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Doors and passageways that are not an exit should be identified as "NO EXIT" to eliminate confusion. Every effort should be made to prevent occupants from accidentally traveling into a dead-end space in a fire emergency.</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Interior stairs and other vertical openings between floors should be properly enclosed, sealed, or otherwise protected against possible fire spread.</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Decorations, furnishings, and equipment should not obstruct, impair, or detract attention from the visibility or use of an exit. An exit cannot be a part of a mirrored wall. </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When the sprinkler or smoke detection systems activate, all conflicting sounds and visuals from the attraction should stop. Emergency lighting should also activate during this time. </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The structure must use non-combustible or limited-combustible materials such as gypsum wallboard, metal studs, brick, concrete block, etc. Extensive use of exposed plywood, wood paneling, or wood frame partitions can contribute to the ignition, spread and intensity of a fire.</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Smoking and the use of fireworks or open flame devices like cigarette lighters, candles, and kerosene heaters and lamps are prohibited inside or around the outside of the building. Signs indicating these restrictions should be clearly posted. </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One portable fire extinguisher should be located every 75 feet within the structure and located near exit signs. </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t>A crowd manager should be present at all hours of operation and occupancy guidelines must be met to avoid dangerous overcrowding. </w:t>
                  </w:r>
                </w:p>
                <w:p w:rsidR="00DF7A59" w:rsidRDefault="00DF7A59" w:rsidP="004C5497">
                  <w:pPr>
                    <w:pStyle w:val="gdp"/>
                    <w:numPr>
                      <w:ilvl w:val="0"/>
                      <w:numId w:val="1"/>
                    </w:numPr>
                    <w:rPr>
                      <w:rFonts w:ascii="Arial" w:hAnsi="Arial" w:cs="Arial"/>
                      <w:color w:val="232323"/>
                      <w:sz w:val="20"/>
                      <w:szCs w:val="20"/>
                    </w:rPr>
                  </w:pPr>
                  <w:r>
                    <w:rPr>
                      <w:rFonts w:ascii="Arial" w:hAnsi="Arial" w:cs="Arial"/>
                      <w:color w:val="232323"/>
                      <w:sz w:val="20"/>
                      <w:szCs w:val="20"/>
                    </w:rPr>
                    <w:lastRenderedPageBreak/>
                    <w:t>All exits must be unlocked and accessible at all times. They should be operational without the use of a key, tool, or special knowledge. </w:t>
                  </w:r>
                </w:p>
                <w:p w:rsidR="00DF7A59" w:rsidRDefault="00DF7A59">
                  <w:pPr>
                    <w:pStyle w:val="gdp"/>
                    <w:spacing w:after="240" w:afterAutospacing="0"/>
                    <w:rPr>
                      <w:rFonts w:ascii="Arial" w:hAnsi="Arial" w:cs="Arial"/>
                      <w:color w:val="232323"/>
                      <w:sz w:val="20"/>
                      <w:szCs w:val="20"/>
                    </w:rPr>
                  </w:pPr>
                  <w:r>
                    <w:rPr>
                      <w:rFonts w:ascii="Arial" w:hAnsi="Arial" w:cs="Arial"/>
                      <w:color w:val="232323"/>
                      <w:sz w:val="20"/>
                      <w:szCs w:val="20"/>
                    </w:rPr>
                    <w:t xml:space="preserve">For more information about the Life Safety Code, visit NFPA.org or click </w:t>
                  </w:r>
                  <w:hyperlink r:id="rId8" w:tgtFrame="_blank" w:history="1">
                    <w:r>
                      <w:rPr>
                        <w:rStyle w:val="Hyperlink"/>
                        <w:rFonts w:ascii="Arial" w:hAnsi="Arial" w:cs="Arial"/>
                        <w:color w:val="1D5782"/>
                        <w:sz w:val="20"/>
                        <w:szCs w:val="20"/>
                      </w:rPr>
                      <w:t>her</w:t>
                    </w:r>
                    <w:bookmarkStart w:id="0" w:name="_GoBack"/>
                    <w:bookmarkEnd w:id="0"/>
                    <w:r>
                      <w:rPr>
                        <w:rStyle w:val="Hyperlink"/>
                        <w:rFonts w:ascii="Arial" w:hAnsi="Arial" w:cs="Arial"/>
                        <w:color w:val="1D5782"/>
                        <w:sz w:val="20"/>
                        <w:szCs w:val="20"/>
                      </w:rPr>
                      <w:t>e</w:t>
                    </w:r>
                  </w:hyperlink>
                  <w:r>
                    <w:rPr>
                      <w:rFonts w:ascii="Arial" w:hAnsi="Arial" w:cs="Arial"/>
                      <w:color w:val="232323"/>
                      <w:sz w:val="20"/>
                      <w:szCs w:val="20"/>
                    </w:rPr>
                    <w:t>. </w:t>
                  </w:r>
                </w:p>
                <w:p w:rsidR="00DF7A59" w:rsidRDefault="00DF7A59">
                  <w:pPr>
                    <w:jc w:val="center"/>
                    <w:rPr>
                      <w:rFonts w:eastAsia="Times New Roman"/>
                      <w:color w:val="000000"/>
                    </w:rPr>
                  </w:pPr>
                  <w:r>
                    <w:rPr>
                      <w:rFonts w:eastAsia="Times New Roman"/>
                      <w:color w:val="000000"/>
                    </w:rPr>
                    <w:pict>
                      <v:rect id="_x0000_i1025"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8850"/>
                  </w:tblGrid>
                  <w:tr w:rsidR="00DF7A59">
                    <w:tc>
                      <w:tcPr>
                        <w:tcW w:w="0" w:type="auto"/>
                        <w:hideMark/>
                      </w:tcPr>
                      <w:p w:rsidR="00DF7A59" w:rsidRDefault="00DF7A59">
                        <w:pPr>
                          <w:jc w:val="center"/>
                        </w:pPr>
                        <w:r>
                          <w:rPr>
                            <w:noProof/>
                            <w:color w:val="1D5782"/>
                          </w:rPr>
                          <w:drawing>
                            <wp:inline distT="0" distB="0" distL="0" distR="0">
                              <wp:extent cx="3810000" cy="2524125"/>
                              <wp:effectExtent l="0" t="0" r="0" b="9525"/>
                              <wp:docPr id="1" name="Picture 1" descr="Haunted Castle fire at Six Flags Adventure Park on May 11, 1984">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unted Castle fire at Six Flags Adventure Park on May 11, 19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inline>
                          </w:drawing>
                        </w:r>
                      </w:p>
                    </w:tc>
                  </w:tr>
                </w:tbl>
                <w:p w:rsidR="00DF7A59" w:rsidRDefault="00DF7A59">
                  <w:pPr>
                    <w:pStyle w:val="gdcaption"/>
                    <w:spacing w:after="0" w:afterAutospacing="0"/>
                    <w:jc w:val="center"/>
                    <w:rPr>
                      <w:rFonts w:ascii="Arial" w:hAnsi="Arial" w:cs="Arial"/>
                      <w:i/>
                      <w:iCs/>
                      <w:color w:val="232323"/>
                      <w:sz w:val="16"/>
                      <w:szCs w:val="16"/>
                    </w:rPr>
                  </w:pPr>
                  <w:r>
                    <w:rPr>
                      <w:rFonts w:ascii="Arial" w:hAnsi="Arial" w:cs="Arial"/>
                      <w:i/>
                      <w:iCs/>
                      <w:color w:val="232323"/>
                      <w:sz w:val="16"/>
                      <w:szCs w:val="16"/>
                    </w:rPr>
                    <w:t>The control room after the 1984 Haunted Castle fire at Six Flags Adventure Park in Jackson Township, New Jersey that killed eight teenagers. Photo courtesy of NFPA.</w:t>
                  </w:r>
                </w:p>
                <w:p w:rsidR="00DF7A59" w:rsidRDefault="00DF7A59">
                  <w:pPr>
                    <w:pStyle w:val="Heading3"/>
                    <w:spacing w:before="45" w:beforeAutospacing="0" w:after="60" w:afterAutospacing="0"/>
                    <w:jc w:val="center"/>
                    <w:rPr>
                      <w:rFonts w:ascii="Arial" w:eastAsia="Times New Roman" w:hAnsi="Arial" w:cs="Arial"/>
                      <w:sz w:val="23"/>
                      <w:szCs w:val="23"/>
                    </w:rPr>
                  </w:pPr>
                  <w:r>
                    <w:rPr>
                      <w:rFonts w:ascii="Arial" w:eastAsia="Times New Roman" w:hAnsi="Arial" w:cs="Arial"/>
                      <w:b w:val="0"/>
                      <w:bCs w:val="0"/>
                      <w:color w:val="000000"/>
                      <w:sz w:val="23"/>
                      <w:szCs w:val="23"/>
                    </w:rPr>
                    <w:t xml:space="preserve">The Office of the State Fire Marshal is an agency of the Department of State Police dedicated to helping protect citizens from fire and explosion through a comprehensive program of education, inspection, investigation and fire protection engineering.  For more information on fire safety call 1-800-525-3124, log onto our website at: </w:t>
                  </w:r>
                  <w:hyperlink r:id="rId11" w:history="1">
                    <w:r>
                      <w:rPr>
                        <w:rStyle w:val="Hyperlink"/>
                        <w:rFonts w:ascii="Arial" w:eastAsia="Times New Roman" w:hAnsi="Arial" w:cs="Arial"/>
                        <w:b w:val="0"/>
                        <w:bCs w:val="0"/>
                        <w:color w:val="1D5782"/>
                        <w:sz w:val="23"/>
                        <w:szCs w:val="23"/>
                      </w:rPr>
                      <w:t>Mar</w:t>
                    </w:r>
                    <w:r>
                      <w:rPr>
                        <w:rStyle w:val="Hyperlink"/>
                        <w:rFonts w:ascii="Arial" w:eastAsia="Times New Roman" w:hAnsi="Arial" w:cs="Arial"/>
                        <w:b w:val="0"/>
                        <w:bCs w:val="0"/>
                        <w:color w:val="1D5782"/>
                        <w:sz w:val="23"/>
                        <w:szCs w:val="23"/>
                      </w:rPr>
                      <w:t>y</w:t>
                    </w:r>
                    <w:r>
                      <w:rPr>
                        <w:rStyle w:val="Hyperlink"/>
                        <w:rFonts w:ascii="Arial" w:eastAsia="Times New Roman" w:hAnsi="Arial" w:cs="Arial"/>
                        <w:b w:val="0"/>
                        <w:bCs w:val="0"/>
                        <w:color w:val="1D5782"/>
                        <w:sz w:val="23"/>
                        <w:szCs w:val="23"/>
                      </w:rPr>
                      <w:t>land </w:t>
                    </w:r>
                  </w:hyperlink>
                  <w:hyperlink r:id="rId12" w:history="1">
                    <w:r>
                      <w:rPr>
                        <w:rStyle w:val="Hyperlink"/>
                        <w:rFonts w:ascii="Arial" w:eastAsia="Times New Roman" w:hAnsi="Arial" w:cs="Arial"/>
                        <w:b w:val="0"/>
                        <w:bCs w:val="0"/>
                        <w:color w:val="1D5782"/>
                        <w:sz w:val="23"/>
                        <w:szCs w:val="23"/>
                      </w:rPr>
                      <w:t>State Fire Marshal</w:t>
                    </w:r>
                  </w:hyperlink>
                  <w:r>
                    <w:rPr>
                      <w:rFonts w:ascii="Arial" w:eastAsia="Times New Roman" w:hAnsi="Arial" w:cs="Arial"/>
                      <w:b w:val="0"/>
                      <w:bCs w:val="0"/>
                      <w:color w:val="000000"/>
                      <w:sz w:val="23"/>
                      <w:szCs w:val="23"/>
                    </w:rPr>
                    <w:t xml:space="preserve"> and/or our </w:t>
                  </w:r>
                  <w:hyperlink r:id="rId13" w:history="1">
                    <w:r>
                      <w:rPr>
                        <w:rStyle w:val="Hyperlink"/>
                        <w:rFonts w:ascii="Arial" w:eastAsia="Times New Roman" w:hAnsi="Arial" w:cs="Arial"/>
                        <w:b w:val="0"/>
                        <w:bCs w:val="0"/>
                        <w:color w:val="1D5782"/>
                        <w:sz w:val="23"/>
                        <w:szCs w:val="23"/>
                      </w:rPr>
                      <w:t>Facebook Page</w:t>
                    </w:r>
                  </w:hyperlink>
                  <w:r>
                    <w:rPr>
                      <w:rFonts w:ascii="Arial" w:eastAsia="Times New Roman" w:hAnsi="Arial" w:cs="Arial"/>
                      <w:b w:val="0"/>
                      <w:bCs w:val="0"/>
                      <w:color w:val="000000"/>
                      <w:sz w:val="23"/>
                      <w:szCs w:val="23"/>
                    </w:rPr>
                    <w:t>.</w:t>
                  </w:r>
                </w:p>
              </w:tc>
            </w:tr>
            <w:tr w:rsidR="00DF7A59">
              <w:tc>
                <w:tcPr>
                  <w:tcW w:w="9000" w:type="dxa"/>
                  <w:shd w:val="clear" w:color="auto" w:fill="FFFFFF"/>
                  <w:tcMar>
                    <w:top w:w="75" w:type="dxa"/>
                    <w:left w:w="75" w:type="dxa"/>
                    <w:bottom w:w="75" w:type="dxa"/>
                    <w:right w:w="75" w:type="dxa"/>
                  </w:tcMar>
                  <w:hideMark/>
                </w:tcPr>
                <w:p w:rsidR="00DF7A59" w:rsidRDefault="00DF7A59">
                  <w:pPr>
                    <w:pStyle w:val="Heading2"/>
                    <w:spacing w:before="75" w:beforeAutospacing="0" w:after="30" w:afterAutospacing="0"/>
                    <w:jc w:val="center"/>
                    <w:rPr>
                      <w:rFonts w:ascii="Arial" w:eastAsia="Times New Roman" w:hAnsi="Arial" w:cs="Arial"/>
                      <w:sz w:val="26"/>
                      <w:szCs w:val="26"/>
                    </w:rPr>
                  </w:pPr>
                  <w:r>
                    <w:rPr>
                      <w:rFonts w:ascii="Arial" w:eastAsia="Times New Roman" w:hAnsi="Arial" w:cs="Arial"/>
                      <w:color w:val="000000"/>
                      <w:sz w:val="26"/>
                      <w:szCs w:val="26"/>
                    </w:rPr>
                    <w:lastRenderedPageBreak/>
                    <w:t>1201 Reisterstown Road, Pikesville, MD 21208</w:t>
                  </w:r>
                </w:p>
                <w:p w:rsidR="00DF7A59" w:rsidRDefault="00DF7A59">
                  <w:pPr>
                    <w:pStyle w:val="gdp"/>
                    <w:spacing w:before="0" w:beforeAutospacing="0" w:after="0" w:afterAutospacing="0"/>
                    <w:jc w:val="center"/>
                    <w:rPr>
                      <w:rFonts w:ascii="Arial" w:hAnsi="Arial" w:cs="Arial"/>
                      <w:sz w:val="20"/>
                      <w:szCs w:val="20"/>
                    </w:rPr>
                  </w:pPr>
                  <w:r>
                    <w:rPr>
                      <w:rFonts w:ascii="Arial" w:hAnsi="Arial" w:cs="Arial"/>
                      <w:color w:val="000000"/>
                      <w:sz w:val="20"/>
                      <w:szCs w:val="20"/>
                    </w:rPr>
                    <w:t>Having trouble viewing this</w:t>
                  </w:r>
                  <w:r>
                    <w:rPr>
                      <w:rFonts w:ascii="Arial" w:hAnsi="Arial" w:cs="Arial"/>
                      <w:color w:val="000000"/>
                      <w:sz w:val="20"/>
                      <w:szCs w:val="20"/>
                    </w:rPr>
                    <w:t xml:space="preserve"> notice</w:t>
                  </w:r>
                  <w:r>
                    <w:rPr>
                      <w:rFonts w:ascii="Arial" w:hAnsi="Arial" w:cs="Arial"/>
                      <w:color w:val="000000"/>
                      <w:sz w:val="20"/>
                      <w:szCs w:val="20"/>
                    </w:rPr>
                    <w:t xml:space="preserve">? </w:t>
                  </w:r>
                  <w:hyperlink r:id="rId14" w:history="1">
                    <w:r>
                      <w:rPr>
                        <w:rStyle w:val="Hyperlink"/>
                        <w:rFonts w:ascii="Arial" w:hAnsi="Arial" w:cs="Arial"/>
                        <w:sz w:val="20"/>
                        <w:szCs w:val="20"/>
                      </w:rPr>
                      <w:t>View it as a W</w:t>
                    </w:r>
                    <w:r>
                      <w:rPr>
                        <w:rStyle w:val="Hyperlink"/>
                        <w:rFonts w:ascii="Arial" w:hAnsi="Arial" w:cs="Arial"/>
                        <w:sz w:val="20"/>
                        <w:szCs w:val="20"/>
                      </w:rPr>
                      <w:t>e</w:t>
                    </w:r>
                    <w:r>
                      <w:rPr>
                        <w:rStyle w:val="Hyperlink"/>
                        <w:rFonts w:ascii="Arial" w:hAnsi="Arial" w:cs="Arial"/>
                        <w:sz w:val="20"/>
                        <w:szCs w:val="20"/>
                      </w:rPr>
                      <w:t xml:space="preserve">b </w:t>
                    </w:r>
                    <w:r>
                      <w:rPr>
                        <w:rStyle w:val="Hyperlink"/>
                        <w:rFonts w:ascii="Arial" w:hAnsi="Arial" w:cs="Arial"/>
                        <w:sz w:val="20"/>
                        <w:szCs w:val="20"/>
                      </w:rPr>
                      <w:t>p</w:t>
                    </w:r>
                    <w:r>
                      <w:rPr>
                        <w:rStyle w:val="Hyperlink"/>
                        <w:rFonts w:ascii="Arial" w:hAnsi="Arial" w:cs="Arial"/>
                        <w:sz w:val="20"/>
                        <w:szCs w:val="20"/>
                      </w:rPr>
                      <w:t>age</w:t>
                    </w:r>
                  </w:hyperlink>
                  <w:r>
                    <w:rPr>
                      <w:rFonts w:ascii="Arial" w:hAnsi="Arial" w:cs="Arial"/>
                      <w:color w:val="000000"/>
                      <w:sz w:val="20"/>
                      <w:szCs w:val="20"/>
                    </w:rPr>
                    <w:t>. </w:t>
                  </w:r>
                </w:p>
                <w:p w:rsidR="00DF7A59" w:rsidRDefault="00DF7A59">
                  <w:pPr>
                    <w:pStyle w:val="gdp"/>
                    <w:spacing w:before="0" w:beforeAutospacing="0" w:after="0" w:afterAutospacing="0"/>
                    <w:jc w:val="center"/>
                    <w:rPr>
                      <w:rFonts w:ascii="Arial" w:hAnsi="Arial" w:cs="Arial"/>
                      <w:sz w:val="20"/>
                      <w:szCs w:val="20"/>
                    </w:rPr>
                  </w:pPr>
                  <w:hyperlink r:id="rId15" w:history="1">
                    <w:r>
                      <w:rPr>
                        <w:rStyle w:val="Hyperlink"/>
                        <w:rFonts w:ascii="Arial" w:hAnsi="Arial" w:cs="Arial"/>
                        <w:sz w:val="20"/>
                        <w:szCs w:val="20"/>
                      </w:rPr>
                      <w:t>https://content.govdelivery.com/accounts/MDFIRE/</w:t>
                    </w:r>
                    <w:r>
                      <w:rPr>
                        <w:rStyle w:val="Hyperlink"/>
                        <w:rFonts w:ascii="Arial" w:hAnsi="Arial" w:cs="Arial"/>
                        <w:sz w:val="20"/>
                        <w:szCs w:val="20"/>
                      </w:rPr>
                      <w:t>b</w:t>
                    </w:r>
                    <w:r>
                      <w:rPr>
                        <w:rStyle w:val="Hyperlink"/>
                        <w:rFonts w:ascii="Arial" w:hAnsi="Arial" w:cs="Arial"/>
                        <w:sz w:val="20"/>
                        <w:szCs w:val="20"/>
                      </w:rPr>
                      <w:t>ulletins/262e1f1</w:t>
                    </w:r>
                  </w:hyperlink>
                </w:p>
              </w:tc>
            </w:tr>
          </w:tbl>
          <w:p w:rsidR="00DF7A59" w:rsidRDefault="00DF7A59">
            <w:pPr>
              <w:rPr>
                <w:rFonts w:ascii="Times New Roman" w:eastAsia="Times New Roman" w:hAnsi="Times New Roman" w:cs="Times New Roman"/>
                <w:sz w:val="20"/>
                <w:szCs w:val="20"/>
              </w:rPr>
            </w:pPr>
          </w:p>
        </w:tc>
      </w:tr>
    </w:tbl>
    <w:p w:rsidR="00DF7A59" w:rsidRDefault="00DF7A59" w:rsidP="00DF7A59">
      <w:pPr>
        <w:pStyle w:val="NormalWeb"/>
        <w:jc w:val="center"/>
      </w:pPr>
      <w:r>
        <w:rPr>
          <w:rStyle w:val="Strong"/>
          <w:rFonts w:ascii="Calibri" w:hAnsi="Calibri" w:cs="Calibri"/>
          <w:color w:val="FF0000"/>
        </w:rPr>
        <w:lastRenderedPageBreak/>
        <w:t>---- MEDIA CONTACT ----</w:t>
      </w:r>
    </w:p>
    <w:p w:rsidR="00DF7A59" w:rsidRDefault="00DF7A59" w:rsidP="00DF7A59">
      <w:pPr>
        <w:jc w:val="center"/>
      </w:pPr>
      <w:r>
        <w:rPr>
          <w:sz w:val="27"/>
          <w:szCs w:val="27"/>
        </w:rPr>
        <w:t>Emily Witty</w:t>
      </w:r>
    </w:p>
    <w:p w:rsidR="00DF7A59" w:rsidRDefault="00DF7A59" w:rsidP="00DF7A59">
      <w:pPr>
        <w:jc w:val="center"/>
      </w:pPr>
      <w:r>
        <w:rPr>
          <w:sz w:val="27"/>
          <w:szCs w:val="27"/>
        </w:rPr>
        <w:t>Public Information Officer</w:t>
      </w:r>
    </w:p>
    <w:p w:rsidR="00DF7A59" w:rsidRDefault="00DF7A59" w:rsidP="00DF7A59">
      <w:pPr>
        <w:jc w:val="center"/>
      </w:pPr>
      <w:r>
        <w:rPr>
          <w:sz w:val="27"/>
          <w:szCs w:val="27"/>
        </w:rPr>
        <w:t>Office 410-653-8999 Cell: 443-324-6876</w:t>
      </w:r>
      <w:r>
        <w:t xml:space="preserve"> </w:t>
      </w:r>
    </w:p>
    <w:p w:rsidR="008C0CA0" w:rsidRDefault="008C0CA0"/>
    <w:sectPr w:rsidR="008C0CA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FD" w:rsidRDefault="004722FD" w:rsidP="004722FD">
      <w:r>
        <w:separator/>
      </w:r>
    </w:p>
  </w:endnote>
  <w:endnote w:type="continuationSeparator" w:id="0">
    <w:p w:rsidR="004722FD" w:rsidRDefault="004722FD" w:rsidP="0047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FD" w:rsidRPr="004722FD" w:rsidRDefault="004722FD" w:rsidP="004722FD">
    <w:pPr>
      <w:pStyle w:val="Footer"/>
      <w:jc w:val="right"/>
      <w:rPr>
        <w:sz w:val="18"/>
        <w:szCs w:val="18"/>
      </w:rPr>
    </w:pPr>
    <w:r w:rsidRPr="004722FD">
      <w:rPr>
        <w:sz w:val="18"/>
        <w:szCs w:val="18"/>
      </w:rPr>
      <w:t>Oct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FD" w:rsidRDefault="004722FD" w:rsidP="004722FD">
      <w:r>
        <w:separator/>
      </w:r>
    </w:p>
  </w:footnote>
  <w:footnote w:type="continuationSeparator" w:id="0">
    <w:p w:rsidR="004722FD" w:rsidRDefault="004722FD" w:rsidP="0047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F1018"/>
    <w:multiLevelType w:val="multilevel"/>
    <w:tmpl w:val="2ABA9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59"/>
    <w:rsid w:val="004722FD"/>
    <w:rsid w:val="008C0CA0"/>
    <w:rsid w:val="00D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5739"/>
  <w15:chartTrackingRefBased/>
  <w15:docId w15:val="{6299B3EA-5AEB-4986-BA92-983D664F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A59"/>
    <w:pPr>
      <w:spacing w:after="0" w:line="240" w:lineRule="auto"/>
    </w:pPr>
    <w:rPr>
      <w:rFonts w:ascii="Calibri" w:hAnsi="Calibri" w:cs="Calibri"/>
    </w:rPr>
  </w:style>
  <w:style w:type="paragraph" w:styleId="Heading1">
    <w:name w:val="heading 1"/>
    <w:basedOn w:val="Normal"/>
    <w:link w:val="Heading1Char"/>
    <w:uiPriority w:val="9"/>
    <w:qFormat/>
    <w:rsid w:val="00DF7A5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DF7A59"/>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DF7A5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59"/>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DF7A59"/>
    <w:rPr>
      <w:rFonts w:ascii="Calibri" w:hAnsi="Calibri" w:cs="Calibri"/>
      <w:b/>
      <w:bCs/>
      <w:sz w:val="36"/>
      <w:szCs w:val="36"/>
    </w:rPr>
  </w:style>
  <w:style w:type="character" w:customStyle="1" w:styleId="Heading3Char">
    <w:name w:val="Heading 3 Char"/>
    <w:basedOn w:val="DefaultParagraphFont"/>
    <w:link w:val="Heading3"/>
    <w:uiPriority w:val="9"/>
    <w:semiHidden/>
    <w:rsid w:val="00DF7A59"/>
    <w:rPr>
      <w:rFonts w:ascii="Calibri" w:hAnsi="Calibri" w:cs="Calibri"/>
      <w:b/>
      <w:bCs/>
      <w:sz w:val="27"/>
      <w:szCs w:val="27"/>
    </w:rPr>
  </w:style>
  <w:style w:type="character" w:styleId="Hyperlink">
    <w:name w:val="Hyperlink"/>
    <w:basedOn w:val="DefaultParagraphFont"/>
    <w:uiPriority w:val="99"/>
    <w:semiHidden/>
    <w:unhideWhenUsed/>
    <w:rsid w:val="00DF7A59"/>
    <w:rPr>
      <w:color w:val="0563C1"/>
      <w:u w:val="single"/>
    </w:rPr>
  </w:style>
  <w:style w:type="paragraph" w:styleId="NormalWeb">
    <w:name w:val="Normal (Web)"/>
    <w:basedOn w:val="Normal"/>
    <w:uiPriority w:val="99"/>
    <w:semiHidden/>
    <w:unhideWhenUsed/>
    <w:rsid w:val="00DF7A59"/>
    <w:pPr>
      <w:spacing w:before="100" w:beforeAutospacing="1" w:after="100" w:afterAutospacing="1"/>
    </w:pPr>
    <w:rPr>
      <w:rFonts w:ascii="Times New Roman" w:hAnsi="Times New Roman" w:cs="Times New Roman"/>
      <w:sz w:val="24"/>
      <w:szCs w:val="24"/>
    </w:rPr>
  </w:style>
  <w:style w:type="paragraph" w:customStyle="1" w:styleId="gdp">
    <w:name w:val="gd_p"/>
    <w:basedOn w:val="Normal"/>
    <w:uiPriority w:val="99"/>
    <w:semiHidden/>
    <w:rsid w:val="00DF7A59"/>
    <w:pPr>
      <w:spacing w:before="100" w:beforeAutospacing="1" w:after="100" w:afterAutospacing="1"/>
    </w:pPr>
  </w:style>
  <w:style w:type="paragraph" w:customStyle="1" w:styleId="gdcaption">
    <w:name w:val="gd_caption"/>
    <w:basedOn w:val="Normal"/>
    <w:uiPriority w:val="99"/>
    <w:semiHidden/>
    <w:rsid w:val="00DF7A59"/>
    <w:pPr>
      <w:spacing w:before="100" w:beforeAutospacing="1" w:after="100" w:afterAutospacing="1"/>
    </w:pPr>
  </w:style>
  <w:style w:type="character" w:styleId="Strong">
    <w:name w:val="Strong"/>
    <w:basedOn w:val="DefaultParagraphFont"/>
    <w:uiPriority w:val="22"/>
    <w:qFormat/>
    <w:rsid w:val="00DF7A59"/>
    <w:rPr>
      <w:b/>
      <w:bCs/>
    </w:rPr>
  </w:style>
  <w:style w:type="character" w:styleId="FollowedHyperlink">
    <w:name w:val="FollowedHyperlink"/>
    <w:basedOn w:val="DefaultParagraphFont"/>
    <w:uiPriority w:val="99"/>
    <w:semiHidden/>
    <w:unhideWhenUsed/>
    <w:rsid w:val="00DF7A59"/>
    <w:rPr>
      <w:color w:val="954F72" w:themeColor="followedHyperlink"/>
      <w:u w:val="single"/>
    </w:rPr>
  </w:style>
  <w:style w:type="paragraph" w:styleId="Header">
    <w:name w:val="header"/>
    <w:basedOn w:val="Normal"/>
    <w:link w:val="HeaderChar"/>
    <w:uiPriority w:val="99"/>
    <w:unhideWhenUsed/>
    <w:rsid w:val="004722FD"/>
    <w:pPr>
      <w:tabs>
        <w:tab w:val="center" w:pos="4680"/>
        <w:tab w:val="right" w:pos="9360"/>
      </w:tabs>
    </w:pPr>
  </w:style>
  <w:style w:type="character" w:customStyle="1" w:styleId="HeaderChar">
    <w:name w:val="Header Char"/>
    <w:basedOn w:val="DefaultParagraphFont"/>
    <w:link w:val="Header"/>
    <w:uiPriority w:val="99"/>
    <w:rsid w:val="004722FD"/>
    <w:rPr>
      <w:rFonts w:ascii="Calibri" w:hAnsi="Calibri" w:cs="Calibri"/>
    </w:rPr>
  </w:style>
  <w:style w:type="paragraph" w:styleId="Footer">
    <w:name w:val="footer"/>
    <w:basedOn w:val="Normal"/>
    <w:link w:val="FooterChar"/>
    <w:uiPriority w:val="99"/>
    <w:unhideWhenUsed/>
    <w:rsid w:val="004722FD"/>
    <w:pPr>
      <w:tabs>
        <w:tab w:val="center" w:pos="4680"/>
        <w:tab w:val="right" w:pos="9360"/>
      </w:tabs>
    </w:pPr>
  </w:style>
  <w:style w:type="character" w:customStyle="1" w:styleId="FooterChar">
    <w:name w:val="Footer Char"/>
    <w:basedOn w:val="DefaultParagraphFont"/>
    <w:link w:val="Footer"/>
    <w:uiPriority w:val="99"/>
    <w:rsid w:val="004722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govdelivery.com:80/track?type=click&amp;enid=ZWFzPTEmbXNpZD0mYXVpZD0mbWFpbGluZ2lkPTIwMTkwOTMwLjEwODQzMDkxJm1lc3NhZ2VpZD1NREItUFJELUJVTC0yMDE5MDkzMC4xMDg0MzA5MSZkYXRhYmFzZWlkPTEwMDEmc2VyaWFsPTE2Nzg1ODUxJmVtYWlsaWQ9bHNwZW5jZXJAbWFiZS5vcmcmdXNlcmlkPWxzcGVuY2VyQG1hYmUub3JnJnRhcmdldGlkPSZmbD0mbXZpZD0mZXh0cmE9JiYm&amp;&amp;&amp;100&amp;&amp;&amp;https://www.nfpa.org/codes-and-standards/all-codes-and-standards/list-of-codes-and-standards/detail?code=101" TargetMode="External"/><Relationship Id="rId13" Type="http://schemas.openxmlformats.org/officeDocument/2006/relationships/hyperlink" Target="http://links.govdelivery.com:80/track?type=click&amp;enid=ZWFzPTEmbXNpZD0mYXVpZD0mbWFpbGluZ2lkPTIwMTkwOTMwLjEwODQzMDkxJm1lc3NhZ2VpZD1NREItUFJELUJVTC0yMDE5MDkzMC4xMDg0MzA5MSZkYXRhYmFzZWlkPTEwMDEmc2VyaWFsPTE2Nzg1ODUxJmVtYWlsaWQ9bHNwZW5jZXJAbWFiZS5vcmcmdXNlcmlkPWxzcGVuY2VyQG1hYmUub3JnJnRhcmdldGlkPSZmbD0mbXZpZD0mZXh0cmE9JiYm&amp;&amp;&amp;104&amp;&amp;&amp;https://www.facebook.com/MarylandStateFireMarsh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inks.govdelivery.com:80/track?type=click&amp;enid=ZWFzPTEmbXNpZD0mYXVpZD0mbWFpbGluZ2lkPTIwMTkwOTMwLjEwODQzMDkxJm1lc3NhZ2VpZD1NREItUFJELUJVTC0yMDE5MDkzMC4xMDg0MzA5MSZkYXRhYmFzZWlkPTEwMDEmc2VyaWFsPTE2Nzg1ODUxJmVtYWlsaWQ9bHNwZW5jZXJAbWFiZS5vcmcmdXNlcmlkPWxzcGVuY2VyQG1hYmUub3JnJnRhcmdldGlkPSZmbD0mbXZpZD0mZXh0cmE9JiYm&amp;&amp;&amp;103&amp;&amp;&amp;http://mdsp.maryland.gov/firemarsh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nks.govdelivery.com:80/track?type=click&amp;enid=ZWFzPTEmbXNpZD0mYXVpZD0mbWFpbGluZ2lkPTIwMTkwOTMwLjEwODQzMDkxJm1lc3NhZ2VpZD1NREItUFJELUJVTC0yMDE5MDkzMC4xMDg0MzA5MSZkYXRhYmFzZWlkPTEwMDEmc2VyaWFsPTE2Nzg1ODUxJmVtYWlsaWQ9bHNwZW5jZXJAbWFiZS5vcmcmdXNlcmlkPWxzcGVuY2VyQG1hYmUub3JnJnRhcmdldGlkPSZmbD0mbXZpZD0mZXh0cmE9JiYm&amp;&amp;&amp;102&amp;&amp;&amp;http://mdsp.maryland.gov/firemarshal/Pages/StateFireMarshal.aspx" TargetMode="External"/><Relationship Id="rId5" Type="http://schemas.openxmlformats.org/officeDocument/2006/relationships/footnotes" Target="footnotes.xml"/><Relationship Id="rId15" Type="http://schemas.openxmlformats.org/officeDocument/2006/relationships/hyperlink" Target="https://content.govdelivery.com/accounts/MDFIRE/bulletins/262e1f1"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links.govdelivery.com/track?type=click&amp;enid=ZWFzPTEmbXNpZD0mYXVpZD0mbWFpbGluZ2lkPTIwMTkwOTMwLjEwODQzMDkxJm1lc3NhZ2VpZD1NREItUFJELUJVTC0yMDE5MDkzMC4xMDg0MzA5MSZkYXRhYmFzZWlkPTEwMDEmc2VyaWFsPTE2Nzg1ODUxJmVtYWlsaWQ9bHNwZW5jZXJAbWFiZS5vcmcmdXNlcmlkPWxzcGVuY2VyQG1hYmUub3JnJnRhcmdldGlkPSZmbD0mbXZpZD0mZXh0cmE9JiYm&amp;&amp;&amp;101&amp;&amp;&amp;https://www.nfpa.org/News-and-Research/Publications-and-media/NFPA-Journal/2014/May-June-2014/Features/The-Haunted-Castle-Revisited" TargetMode="External"/><Relationship Id="rId14" Type="http://schemas.openxmlformats.org/officeDocument/2006/relationships/hyperlink" Target="http://links.govdelivery.com:80/track?type=click&amp;enid=ZWFzPTEmbXNpZD0mYXVpZD0mbWFpbGluZ2lkPTIwMTkwOTMwLjEwODQzMDkxJm1lc3NhZ2VpZD1NREItUFJELUJVTC0yMDE5MDkzMC4xMDg0MzA5MSZkYXRhYmFzZWlkPTEwMDEmc2VyaWFsPTE2Nzg1ODUxJmVtYWlsaWQ9bHNwZW5jZXJAbWFiZS5vcmcmdXNlcmlkPWxzcGVuY2VyQG1hYmUub3JnJnRhcmdldGlkPSZmbD0mbXZpZD0mZXh0cmE9JiYm&amp;&amp;&amp;105&amp;&amp;&amp;https://content.govdelivery.com/accounts/MDFIRE/bulletins/262e1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 Diana</dc:creator>
  <cp:keywords/>
  <dc:description/>
  <cp:lastModifiedBy>Appel, Diana</cp:lastModifiedBy>
  <cp:revision>2</cp:revision>
  <dcterms:created xsi:type="dcterms:W3CDTF">2019-10-01T14:02:00Z</dcterms:created>
  <dcterms:modified xsi:type="dcterms:W3CDTF">2019-10-01T14:09:00Z</dcterms:modified>
</cp:coreProperties>
</file>